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E53DB">
      <w:pPr>
        <w:pStyle w:val="31"/>
      </w:pPr>
      <w:r>
        <w:t>SRS Blog Rewrites</w:t>
      </w:r>
    </w:p>
    <w:p w14:paraId="4604D7B4">
      <w:pPr>
        <w:jc w:val="left"/>
      </w:pPr>
      <w:r>
        <w:rPr>
          <w:i/>
          <w:color w:val="5B6573"/>
        </w:rPr>
        <w:t>Three original English drafts rebuilt from primary sources and official requirements</w:t>
      </w:r>
    </w:p>
    <w:p w14:paraId="496D2D06">
      <w:r>
        <w:t>This document contains the three complete source topics available in the uploaded file. Each draft keeps the original commercial direction while replacing unsupported market claims, separating ingredient evidence from finished-product proof, and connecting the topic to SRS products and technical documentation without overstating what any individual batch can demonstrate.</w:t>
      </w:r>
    </w:p>
    <w:p w14:paraId="59552BE8">
      <w:r>
        <w:br w:type="page"/>
      </w:r>
    </w:p>
    <w:p w14:paraId="72C4713E">
      <w:pPr>
        <w:pStyle w:val="3"/>
      </w:pPr>
      <w:r>
        <w:t>Article 1</w:t>
      </w:r>
    </w:p>
    <w:tbl>
      <w:tblPr>
        <w:tblStyle w:val="32"/>
        <w:tblW w:w="0" w:type="auto"/>
        <w:jc w:val="center"/>
        <w:tblLayout w:type="fixed"/>
        <w:tblCellMar>
          <w:top w:w="0" w:type="dxa"/>
          <w:left w:w="108" w:type="dxa"/>
          <w:bottom w:w="0" w:type="dxa"/>
          <w:right w:w="108" w:type="dxa"/>
        </w:tblCellMar>
      </w:tblPr>
      <w:tblGrid>
        <w:gridCol w:w="1944"/>
        <w:gridCol w:w="8424"/>
      </w:tblGrid>
      <w:tr w14:paraId="4138A39E">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2BCF4A81">
            <w:pPr>
              <w:spacing w:after="0"/>
            </w:pPr>
            <w:r>
              <w:rPr>
                <w:b/>
                <w:color w:val="15375B"/>
              </w:rPr>
              <w:t>Primary Keyword</w:t>
            </w:r>
          </w:p>
        </w:tc>
        <w:tc>
          <w:tcPr>
            <w:tcW w:w="8424" w:type="dxa"/>
            <w:tcMar>
              <w:top w:w="100" w:type="dxa"/>
              <w:left w:w="120" w:type="dxa"/>
              <w:bottom w:w="100" w:type="dxa"/>
              <w:right w:w="120" w:type="dxa"/>
            </w:tcMar>
            <w:vAlign w:val="center"/>
          </w:tcPr>
          <w:p w14:paraId="54EE5134">
            <w:pPr>
              <w:spacing w:after="0"/>
            </w:pPr>
            <w:r>
              <w:t>mineral stick pack formulation</w:t>
            </w:r>
          </w:p>
        </w:tc>
      </w:tr>
      <w:tr w14:paraId="6AD9C4BE">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79320335">
            <w:pPr>
              <w:spacing w:after="0"/>
            </w:pPr>
            <w:r>
              <w:rPr>
                <w:b/>
                <w:color w:val="15375B"/>
              </w:rPr>
              <w:t>Secondary Keywords</w:t>
            </w:r>
          </w:p>
        </w:tc>
        <w:tc>
          <w:tcPr>
            <w:tcW w:w="8424" w:type="dxa"/>
            <w:tcMar>
              <w:top w:w="100" w:type="dxa"/>
              <w:left w:w="120" w:type="dxa"/>
              <w:bottom w:w="100" w:type="dxa"/>
              <w:right w:w="120" w:type="dxa"/>
            </w:tcMar>
            <w:vAlign w:val="center"/>
          </w:tcPr>
          <w:p w14:paraId="235A8A18">
            <w:pPr>
              <w:spacing w:after="0"/>
            </w:pPr>
            <w:r>
              <w:t>mineral powder sachets; magnesium stick pack; electrolyte stick pack; stick pack manufacturing; portable mineral supplements</w:t>
            </w:r>
          </w:p>
        </w:tc>
      </w:tr>
      <w:tr w14:paraId="32B01490">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7F21A50A">
            <w:pPr>
              <w:spacing w:after="0"/>
            </w:pPr>
            <w:r>
              <w:rPr>
                <w:b/>
                <w:color w:val="15375B"/>
              </w:rPr>
              <w:t>Search Intent</w:t>
            </w:r>
          </w:p>
        </w:tc>
        <w:tc>
          <w:tcPr>
            <w:tcW w:w="8424" w:type="dxa"/>
            <w:tcMar>
              <w:top w:w="100" w:type="dxa"/>
              <w:left w:w="120" w:type="dxa"/>
              <w:bottom w:w="100" w:type="dxa"/>
              <w:right w:w="120" w:type="dxa"/>
            </w:tcMar>
            <w:vAlign w:val="center"/>
          </w:tcPr>
          <w:p w14:paraId="287E0C18">
            <w:pPr>
              <w:spacing w:after="0"/>
            </w:pPr>
            <w:r>
              <w:t>Informational and commercial investigation</w:t>
            </w:r>
          </w:p>
        </w:tc>
      </w:tr>
      <w:tr w14:paraId="7AB0DE8B">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6175A785">
            <w:pPr>
              <w:spacing w:after="0"/>
            </w:pPr>
            <w:r>
              <w:rPr>
                <w:b/>
                <w:color w:val="15375B"/>
              </w:rPr>
              <w:t>URL Slug</w:t>
            </w:r>
          </w:p>
        </w:tc>
        <w:tc>
          <w:tcPr>
            <w:tcW w:w="8424" w:type="dxa"/>
            <w:tcMar>
              <w:top w:w="100" w:type="dxa"/>
              <w:left w:w="120" w:type="dxa"/>
              <w:bottom w:w="100" w:type="dxa"/>
              <w:right w:w="120" w:type="dxa"/>
            </w:tcMar>
            <w:vAlign w:val="center"/>
          </w:tcPr>
          <w:p w14:paraId="22553C35">
            <w:pPr>
              <w:spacing w:after="0"/>
            </w:pPr>
            <w:r>
              <w:t>/mineral-stick-pack-formulation-beyond-sports/</w:t>
            </w:r>
          </w:p>
        </w:tc>
      </w:tr>
      <w:tr w14:paraId="05FCD9D0">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69A44866">
            <w:pPr>
              <w:spacing w:after="0"/>
            </w:pPr>
            <w:r>
              <w:rPr>
                <w:b/>
                <w:color w:val="15375B"/>
              </w:rPr>
              <w:t>Meta Title</w:t>
            </w:r>
          </w:p>
        </w:tc>
        <w:tc>
          <w:tcPr>
            <w:tcW w:w="8424" w:type="dxa"/>
            <w:tcMar>
              <w:top w:w="100" w:type="dxa"/>
              <w:left w:w="120" w:type="dxa"/>
              <w:bottom w:w="100" w:type="dxa"/>
              <w:right w:w="120" w:type="dxa"/>
            </w:tcMar>
            <w:vAlign w:val="center"/>
          </w:tcPr>
          <w:p w14:paraId="257BC100">
            <w:pPr>
              <w:spacing w:after="0"/>
            </w:pPr>
            <w:r>
              <w:t>Who Said Mineral Stick Packs Belong in the Gym</w:t>
            </w:r>
          </w:p>
        </w:tc>
      </w:tr>
      <w:tr w14:paraId="62F28967">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357E9ADC">
            <w:pPr>
              <w:spacing w:after="0"/>
            </w:pPr>
            <w:r>
              <w:rPr>
                <w:b/>
                <w:color w:val="15375B"/>
              </w:rPr>
              <w:t>Meta Description</w:t>
            </w:r>
          </w:p>
        </w:tc>
        <w:tc>
          <w:tcPr>
            <w:tcW w:w="8424" w:type="dxa"/>
            <w:tcMar>
              <w:top w:w="100" w:type="dxa"/>
              <w:left w:w="120" w:type="dxa"/>
              <w:bottom w:w="100" w:type="dxa"/>
              <w:right w:w="120" w:type="dxa"/>
            </w:tcMar>
            <w:vAlign w:val="center"/>
          </w:tcPr>
          <w:p w14:paraId="2098A7CC">
            <w:pPr>
              <w:spacing w:after="0"/>
            </w:pPr>
            <w:r>
              <w:t>Mineral stick packs can serve more than sports nutrition. See how dose, taste, powder flow and market rules shape a credible product.</w:t>
            </w:r>
          </w:p>
        </w:tc>
      </w:tr>
    </w:tbl>
    <w:p w14:paraId="57B78FA0"/>
    <w:p w14:paraId="5C203D39">
      <w:pPr>
        <w:pStyle w:val="3"/>
      </w:pPr>
      <w:r>
        <w:t>H1  Who Said Mineral Stick Packs Belong in the Gym?</w:t>
      </w:r>
    </w:p>
    <w:p w14:paraId="37654729">
      <w:r>
        <w:t>Put a mineral powder into a slim sachet and the packaging brief often writes itself: athlete, water bottle, beads of sweat. Sports nutrition made the stick pack familiar, but it does not own the format. The same tear-pour-drink ritual can work at a desk, on a flight, during hot weather or as part of an evening routine.</w:t>
      </w:r>
    </w:p>
    <w:p w14:paraId="52A5A956">
      <w:r>
        <w:t>Moving beyond the gym, however, takes more than replacing the athlete on the artwork. The product still has to carry a meaningful dose, taste acceptable, flow through a filling line and meet the rules of its destination market. A fresh use occasion can open the door; only a workable formula keeps it open.</w:t>
      </w:r>
    </w:p>
    <w:p w14:paraId="5AB7D39A">
      <w:pPr>
        <w:pStyle w:val="4"/>
      </w:pPr>
      <w:r>
        <w:t>H2  The Gym Was a Launchpad, Not a Boundary</w:t>
      </w:r>
    </w:p>
    <w:p w14:paraId="08ABF9D8">
      <w:r>
        <w:t>Electrolytes gave stick packs a clear job after exercise, and that clarity helped the format grow. But portability is useful in many routines. Magnesium can sit in an evening product; a mineral blend can be designed for travel; a hot-weather sachet can serve consumers who would never describe themselves as athletes.</w:t>
      </w:r>
    </w:p>
    <w:p w14:paraId="528C4AF9">
      <w:r>
        <w:t>The use occasion must shape more than the campaign. Someone mixing a product before bed may want a different flavour, water volume and serving size from someone drinking it during training. Start with the moment of use: who is holding the sachet, what problem are they trying to solve and how will they actually prepare it?</w:t>
      </w:r>
    </w:p>
    <w:p w14:paraId="41CEAC83">
      <w:pPr>
        <w:pStyle w:val="4"/>
      </w:pPr>
      <w:r>
        <w:t>H2  A Small Sachet Has No Respect for Big Marketing Ideas</w:t>
      </w:r>
    </w:p>
    <w:p w14:paraId="2E9E285D">
      <w:r>
        <w:t>A mineral claim can look compact on a label while taking up far more room in production. The declared amount may refer to elemental magnesium or zinc, but the factory fills the much heavier mineral compound. Assay basis, water content, flavours, sweeteners, carriers and any justified overage all compete for the same narrow pack.</w:t>
      </w:r>
    </w:p>
    <w:p w14:paraId="0EB06B5A">
      <w:r>
        <w:t>Do the mass balance before approving the pack dimensions. Calculate the active input on the same basis used in the ingredient specification and finished-product label, then add the rest of the formula. If it does not fit, the honest choices are a larger sachet, a lower dose or a different serving design. The filling machine will not negotiate with the marketing concept.</w:t>
      </w:r>
    </w:p>
    <w:p w14:paraId="0FCE2B15">
      <w:pPr>
        <w:pStyle w:val="4"/>
      </w:pPr>
      <w:r>
        <w:t>H2  Great Flavour Cannot Rescue Bad Powder Flow</w:t>
      </w:r>
    </w:p>
    <w:p w14:paraId="41EC92FD">
      <w:r>
        <w:t>A bench sample may dissolve well and taste surprisingly pleasant. That still says little about whether thousands of sachets can be filled consistently. Mineral sources differ in elemental content, bitterness, astringency, saltiness and sediment, while the full blend introduces its own physical behaviour.</w:t>
      </w:r>
    </w:p>
    <w:p w14:paraId="4D0B6611">
      <w:r>
        <w:t>Different particle sizes may segregate. Hygroscopic ingredients may cake. Low-density powders may exceed the expected volume, and cohesive blends may hesitate above the dosing system. These problems often appear only when the line speeds up. A pilot run should therefore confirm:</w:t>
      </w:r>
    </w:p>
    <w:p w14:paraId="45FB3102">
      <w:pPr>
        <w:pStyle w:val="16"/>
        <w:spacing w:after="80"/>
      </w:pPr>
      <w:r>
        <w:t>achievable fill weight and sachet dimensions;</w:t>
      </w:r>
    </w:p>
    <w:p w14:paraId="41141D85">
      <w:pPr>
        <w:pStyle w:val="16"/>
        <w:spacing w:after="80"/>
      </w:pPr>
      <w:r>
        <w:t>blend and serving-level uniformity;</w:t>
      </w:r>
    </w:p>
    <w:p w14:paraId="2E58028C">
      <w:pPr>
        <w:pStyle w:val="16"/>
        <w:spacing w:after="80"/>
      </w:pPr>
      <w:r>
        <w:t>flow at the intended line speed;</w:t>
      </w:r>
    </w:p>
    <w:p w14:paraId="5F83E2E4">
      <w:pPr>
        <w:pStyle w:val="16"/>
        <w:spacing w:after="80"/>
      </w:pPr>
      <w:r>
        <w:t>seal integrity and moisture protection;</w:t>
      </w:r>
    </w:p>
    <w:p w14:paraId="53CCC70B">
      <w:pPr>
        <w:pStyle w:val="16"/>
        <w:spacing w:after="80"/>
      </w:pPr>
      <w:r>
        <w:t>finished-product mineral content at release and through the planned shelf life.</w:t>
      </w:r>
    </w:p>
    <w:p w14:paraId="3915FCF7">
      <w:pPr>
        <w:pStyle w:val="4"/>
      </w:pPr>
      <w:r>
        <w:t>H2  One Stick Pack, Every Market? Not So Fast</w:t>
      </w:r>
    </w:p>
    <w:p w14:paraId="24C52B66">
      <w:r>
        <w:t>In the European Union, Directive 2002/46/EC establishes permitted vitamins, minerals and source forms for food supplements, while national requirements can still affect maximum levels, notifications and labelling. In the United States, dietary-supplement manufacturers must work within applicable federal requirements, including current good manufacturing practice under 21 CFR Part 111. Product classification, claims and label wording should be reviewed for each destination rather than copied from one market to another.</w:t>
      </w:r>
    </w:p>
    <w:p w14:paraId="34A8A8CC">
      <w:r>
        <w:t>This is especially important when a mineral sachet sits between familiar categories such as an electrolyte drink mix, a daily supplement and a flavoured beverage powder. The consumer use occasion may be similar, but the regulatory route may not be.</w:t>
      </w:r>
    </w:p>
    <w:p w14:paraId="0EF168F1">
      <w:pPr>
        <w:pStyle w:val="4"/>
      </w:pPr>
      <w:r>
        <w:t>H2  Design the Formula Before the Artwork</w:t>
      </w:r>
    </w:p>
    <w:p w14:paraId="5DEC641F">
      <w:r>
        <w:t>The most useful supplier brief is not a finished pouch design. It is the target elemental dose, total serving weight, preparation volume, use occasion and destination market. Those details allow the ingredient grade and its documentation to be assessed before artwork, claims and pack dimensions become expensive to change.</w:t>
      </w:r>
    </w:p>
    <w:p w14:paraId="622F1A00">
      <w:r>
        <w:t>SRS Nutrition Express can provide grade specifications, representative COAs, assay information and samples for selected mineral ingredients, including magnesium bisglycinate. These materials help narrow the trial options. They do not replace blend testing, line validation or finished-product stability work in the intended packaging.</w:t>
      </w:r>
    </w:p>
    <w:p w14:paraId="4493F535">
      <w:pPr>
        <w:pStyle w:val="4"/>
      </w:pPr>
      <w:r>
        <w:t>H2  Do Not Let the New Story Outrun the Evidence</w:t>
      </w:r>
    </w:p>
    <w:p w14:paraId="48118A4D">
      <w:pPr>
        <w:pStyle w:val="16"/>
        <w:spacing w:after="80"/>
      </w:pPr>
      <w:r>
        <w:t>Demand for portable formats does not prove that every mineral combination is necessary or effective.</w:t>
      </w:r>
    </w:p>
    <w:p w14:paraId="461842F7">
      <w:pPr>
        <w:pStyle w:val="16"/>
        <w:spacing w:after="80"/>
      </w:pPr>
      <w:r>
        <w:t>A raw-material assay does not establish the mineral content of a finished sachet.</w:t>
      </w:r>
    </w:p>
    <w:p w14:paraId="282AD727">
      <w:pPr>
        <w:pStyle w:val="16"/>
        <w:spacing w:after="80"/>
      </w:pPr>
      <w:r>
        <w:t>Taste, flow and stability depend on the complete formulation and packaging.</w:t>
      </w:r>
    </w:p>
    <w:p w14:paraId="657F5E0B">
      <w:pPr>
        <w:pStyle w:val="16"/>
        <w:spacing w:after="80"/>
      </w:pPr>
      <w:r>
        <w:t>Permitted forms, claims and notification requirements vary by market and may change.</w:t>
      </w:r>
    </w:p>
    <w:p w14:paraId="2EB9A2C7">
      <w:pPr>
        <w:pStyle w:val="4"/>
      </w:pPr>
      <w:r>
        <w:t>Recommended Reading</w:t>
      </w:r>
    </w:p>
    <w:p w14:paraId="11F70B02">
      <w:pPr>
        <w:pStyle w:val="16"/>
      </w:pPr>
      <w:r>
        <w:fldChar w:fldCharType="begin"/>
      </w:r>
      <w:r>
        <w:instrText xml:space="preserve"> HYPERLINK "https://www.srs-nutritionexpress.com/news/can-one-raw-material-specification-work-for-every-finished-product/" \h </w:instrText>
      </w:r>
      <w:r>
        <w:fldChar w:fldCharType="separate"/>
      </w:r>
      <w:r>
        <w:rPr>
          <w:color w:val="159BD3"/>
          <w:u w:val="single"/>
        </w:rPr>
        <w:t>Can One Raw Material Specification Work for Every Finished Product</w:t>
      </w:r>
      <w:r>
        <w:rPr>
          <w:color w:val="159BD3"/>
          <w:u w:val="single"/>
        </w:rPr>
        <w:fldChar w:fldCharType="end"/>
      </w:r>
    </w:p>
    <w:p w14:paraId="5C808CB6">
      <w:pPr>
        <w:pStyle w:val="4"/>
      </w:pPr>
      <w:r>
        <w:t>References</w:t>
      </w:r>
    </w:p>
    <w:p w14:paraId="64154226">
      <w:pPr>
        <w:ind w:left="259" w:hanging="259"/>
      </w:pPr>
      <w:r>
        <w:t xml:space="preserve">1. European Parliament and Council. Directive 2002/46/EC on food supplements, consolidated text. </w:t>
      </w:r>
      <w:r>
        <w:fldChar w:fldCharType="begin"/>
      </w:r>
      <w:r>
        <w:instrText xml:space="preserve"> HYPERLINK "https://eur-lex.europa.eu/eli/dir/2002/46/2024-07-17/eng" \h </w:instrText>
      </w:r>
      <w:r>
        <w:fldChar w:fldCharType="separate"/>
      </w:r>
      <w:r>
        <w:rPr>
          <w:color w:val="159BD3"/>
          <w:u w:val="single"/>
        </w:rPr>
        <w:t>https://eur-lex.europa.eu/eli/dir/2002/46/2024-07-17/eng</w:t>
      </w:r>
      <w:r>
        <w:rPr>
          <w:color w:val="159BD3"/>
          <w:u w:val="single"/>
        </w:rPr>
        <w:fldChar w:fldCharType="end"/>
      </w:r>
    </w:p>
    <w:p w14:paraId="25FA269D">
      <w:pPr>
        <w:ind w:left="259" w:hanging="259"/>
      </w:pPr>
      <w:r>
        <w:t xml:space="preserve">2. Electronic Code of Federal Regulations. 21 CFR Part 111 Current Good Manufacturing Practice for Dietary Supplements. </w:t>
      </w:r>
      <w:r>
        <w:fldChar w:fldCharType="begin"/>
      </w:r>
      <w:r>
        <w:instrText xml:space="preserve"> HYPERLINK "https://www.ecfr.gov/current/title-21/chapter-I/subchapter-B/part-111" \h </w:instrText>
      </w:r>
      <w:r>
        <w:fldChar w:fldCharType="separate"/>
      </w:r>
      <w:r>
        <w:rPr>
          <w:color w:val="159BD3"/>
          <w:u w:val="single"/>
        </w:rPr>
        <w:t>https://www.ecfr.gov/current/title-21/chapter-I/subchapter-B/part-111</w:t>
      </w:r>
      <w:r>
        <w:rPr>
          <w:color w:val="159BD3"/>
          <w:u w:val="single"/>
        </w:rPr>
        <w:fldChar w:fldCharType="end"/>
      </w:r>
    </w:p>
    <w:p w14:paraId="55D7E80A">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Main Image</w:t>
      </w:r>
    </w:p>
    <w:p w14:paraId="1170F3F0">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Main Image Title: Who Said Mineral Stick Packs Belong in the Gym?</w:t>
      </w:r>
    </w:p>
    <w:p w14:paraId="7460A72D">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Filename: mineral-stick-packs-beyond-the-gym.png</w:t>
      </w:r>
    </w:p>
    <w:p w14:paraId="1CF07D63">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Title: Mineral Stick Packs Beyond Sports Nutrition</w:t>
      </w:r>
    </w:p>
    <w:p w14:paraId="6326B912">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Alt: Unbranded mineral stick packs with water, a laptop and travel accessories illustrating everyday use beyond the gym</w:t>
      </w:r>
    </w:p>
    <w:p w14:paraId="3F1356F9">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Insert position: After the H1 Who Said Mineral Stick Packs Belong in the Gym? and before the first introductory paragraph.</w:t>
      </w:r>
    </w:p>
    <w:p w14:paraId="1EF4D81E">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Template: Right-side semicircular embedded image</w:t>
      </w:r>
    </w:p>
    <w:p w14:paraId="1F28948E">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Visual direction: Everyday office, travel and evening-use cues; no athlete or gym equipment.</w:t>
      </w:r>
    </w:p>
    <w:p w14:paraId="4051AC03">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 xml:space="preserve">图片： </w:t>
      </w:r>
    </w:p>
    <w:p w14:paraId="7F9DEBE8">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下载主图</w:t>
      </w:r>
    </w:p>
    <w:p w14:paraId="2CCEEFC1">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Supporting Image 1</w:t>
      </w:r>
    </w:p>
    <w:p w14:paraId="5C4FE25B">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Filename: mineral-stick-packs-everyday-routine.png</w:t>
      </w:r>
    </w:p>
    <w:p w14:paraId="29CA7299">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Title: Mineral Stick Packs for Everyday Routines</w:t>
      </w:r>
    </w:p>
    <w:p w14:paraId="107F38FE">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Alt: Person placing an unbranded mineral stick pack beside water, a laptop and travel accessories during an everyday routine</w:t>
      </w:r>
    </w:p>
    <w:p w14:paraId="677C599A">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Insert position: Under H2 The Gym Was a Launchpad, Not a Boundary, after:</w:t>
      </w:r>
    </w:p>
    <w:p w14:paraId="4469B596">
      <w:pPr>
        <w:keepNext w:val="0"/>
        <w:keepLines w:val="0"/>
        <w:widowControl/>
        <w:numPr>
          <w:ilvl w:val="0"/>
          <w:numId w:val="7"/>
        </w:numPr>
        <w:suppressLineNumbers w:val="0"/>
        <w:spacing w:before="0" w:beforeAutospacing="1" w:after="0" w:afterAutospacing="1"/>
        <w:ind w:left="720" w:hanging="360"/>
        <w:rPr>
          <w:rFonts w:hint="eastAsia"/>
        </w:rPr>
      </w:pPr>
    </w:p>
    <w:p w14:paraId="2AA111B7">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Magnesium can sit in an evening product; a mineral blend can be designed for travel; a hot-weather sachet can serve consumers who would never describe themselves as athletes.</w:t>
      </w:r>
    </w:p>
    <w:p w14:paraId="618273B6">
      <w:pPr>
        <w:keepNext w:val="0"/>
        <w:keepLines w:val="0"/>
        <w:widowControl/>
        <w:numPr>
          <w:ilvl w:val="0"/>
          <w:numId w:val="7"/>
        </w:numPr>
        <w:suppressLineNumbers w:val="0"/>
        <w:spacing w:before="0" w:beforeAutospacing="1" w:after="0" w:afterAutospacing="1"/>
        <w:ind w:left="720" w:hanging="360"/>
        <w:rPr>
          <w:rFonts w:hint="eastAsia"/>
        </w:rPr>
      </w:pPr>
    </w:p>
    <w:p w14:paraId="3002730D">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Visual direction: Natural office-and-travel scene showing how stick packs move beyond sports nutrition.</w:t>
      </w:r>
    </w:p>
    <w:p w14:paraId="0024CE16">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 xml:space="preserve">图片： </w:t>
      </w:r>
    </w:p>
    <w:p w14:paraId="761CF2E0">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下载配图1</w:t>
      </w:r>
    </w:p>
    <w:p w14:paraId="1764B65B">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Supporting Image 2</w:t>
      </w:r>
    </w:p>
    <w:p w14:paraId="7B3A1684">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Filename: mineral-stick-pack-pilot-filling-trial.png</w:t>
      </w:r>
    </w:p>
    <w:p w14:paraId="499DA9A3">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Title: Mineral Stick Pack Pilot Filling Trial</w:t>
      </w:r>
    </w:p>
    <w:p w14:paraId="67AB213F">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Alt: Mineral powder flowing through pilot-scale dosing equipment into an unbranded stick pack during a filling trial</w:t>
      </w:r>
    </w:p>
    <w:p w14:paraId="18663616">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Insert position: Under H2 Great Flavour Cannot Rescue Bad Powder Flow, after:</w:t>
      </w:r>
    </w:p>
    <w:p w14:paraId="3E91A0ED">
      <w:pPr>
        <w:keepNext w:val="0"/>
        <w:keepLines w:val="0"/>
        <w:widowControl/>
        <w:numPr>
          <w:ilvl w:val="0"/>
          <w:numId w:val="7"/>
        </w:numPr>
        <w:suppressLineNumbers w:val="0"/>
        <w:spacing w:before="0" w:beforeAutospacing="1" w:after="0" w:afterAutospacing="1"/>
        <w:ind w:left="720" w:hanging="360"/>
        <w:rPr>
          <w:rFonts w:hint="eastAsia"/>
        </w:rPr>
      </w:pPr>
    </w:p>
    <w:p w14:paraId="4E4FBECD">
      <w:pPr>
        <w:keepNext w:val="0"/>
        <w:keepLines w:val="0"/>
        <w:widowControl/>
        <w:numPr>
          <w:ilvl w:val="0"/>
          <w:numId w:val="7"/>
        </w:numPr>
        <w:suppressLineNumbers w:val="0"/>
        <w:spacing w:before="0" w:beforeAutospacing="1" w:after="0" w:afterAutospacing="1"/>
        <w:ind w:left="720" w:hanging="360"/>
        <w:rPr>
          <w:rFonts w:hint="eastAsia"/>
        </w:rPr>
      </w:pPr>
      <w:r>
        <w:rPr>
          <w:rFonts w:hint="eastAsia"/>
        </w:rPr>
        <w:t>These problems often appear only when the line speeds up.</w:t>
      </w:r>
    </w:p>
    <w:p w14:paraId="258D4DA0">
      <w:pPr>
        <w:keepNext w:val="0"/>
        <w:keepLines w:val="0"/>
        <w:widowControl/>
        <w:numPr>
          <w:ilvl w:val="0"/>
          <w:numId w:val="7"/>
        </w:numPr>
        <w:suppressLineNumbers w:val="0"/>
        <w:spacing w:before="0" w:beforeAutospacing="1" w:after="0" w:afterAutospacing="1"/>
        <w:ind w:left="720" w:hanging="360"/>
        <w:rPr>
          <w:rFonts w:hint="eastAsia"/>
        </w:rPr>
      </w:pPr>
    </w:p>
    <w:p w14:paraId="7834155B">
      <w:pPr>
        <w:keepNext w:val="0"/>
        <w:keepLines w:val="0"/>
        <w:widowControl/>
        <w:numPr>
          <w:ilvl w:val="0"/>
          <w:numId w:val="7"/>
        </w:numPr>
        <w:suppressLineNumbers w:val="0"/>
        <w:spacing w:before="0" w:beforeAutospacing="1" w:after="0" w:afterAutospacing="1"/>
        <w:ind w:left="720" w:hanging="360"/>
      </w:pPr>
      <w:r>
        <w:rPr>
          <w:rFonts w:hint="eastAsia"/>
        </w:rPr>
        <w:t>Visual direction: Pilot-scale powder dosing, achievable fill weight and powder-flow evaluation—not a large factory scene.</w:t>
      </w:r>
      <w:r>
        <w:br w:type="page"/>
      </w:r>
    </w:p>
    <w:p w14:paraId="25CF7392">
      <w:pPr>
        <w:pStyle w:val="3"/>
      </w:pPr>
      <w:r>
        <w:t>Article 2</w:t>
      </w:r>
    </w:p>
    <w:tbl>
      <w:tblPr>
        <w:tblStyle w:val="32"/>
        <w:tblW w:w="0" w:type="auto"/>
        <w:jc w:val="center"/>
        <w:tblLayout w:type="fixed"/>
        <w:tblCellMar>
          <w:top w:w="0" w:type="dxa"/>
          <w:left w:w="108" w:type="dxa"/>
          <w:bottom w:w="0" w:type="dxa"/>
          <w:right w:w="108" w:type="dxa"/>
        </w:tblCellMar>
      </w:tblPr>
      <w:tblGrid>
        <w:gridCol w:w="1944"/>
        <w:gridCol w:w="8424"/>
      </w:tblGrid>
      <w:tr w14:paraId="713AE1FE">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40F68E7E">
            <w:pPr>
              <w:spacing w:after="0"/>
            </w:pPr>
            <w:r>
              <w:rPr>
                <w:b/>
                <w:color w:val="15375B"/>
              </w:rPr>
              <w:t>Primary Keyword</w:t>
            </w:r>
          </w:p>
        </w:tc>
        <w:tc>
          <w:tcPr>
            <w:tcW w:w="8424" w:type="dxa"/>
            <w:tcMar>
              <w:top w:w="100" w:type="dxa"/>
              <w:left w:w="120" w:type="dxa"/>
              <w:bottom w:w="100" w:type="dxa"/>
              <w:right w:w="120" w:type="dxa"/>
            </w:tcMar>
            <w:vAlign w:val="center"/>
          </w:tcPr>
          <w:p w14:paraId="3C4DCB7E">
            <w:pPr>
              <w:spacing w:after="0"/>
            </w:pPr>
            <w:r>
              <w:t>water stacking supplements</w:t>
            </w:r>
          </w:p>
        </w:tc>
      </w:tr>
      <w:tr w14:paraId="47F5B1D1">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4E1ACE8B">
            <w:pPr>
              <w:spacing w:after="0"/>
            </w:pPr>
            <w:r>
              <w:rPr>
                <w:b/>
                <w:color w:val="15375B"/>
              </w:rPr>
              <w:t>Secondary Keywords</w:t>
            </w:r>
          </w:p>
        </w:tc>
        <w:tc>
          <w:tcPr>
            <w:tcW w:w="8424" w:type="dxa"/>
            <w:tcMar>
              <w:top w:w="100" w:type="dxa"/>
              <w:left w:w="120" w:type="dxa"/>
              <w:bottom w:w="100" w:type="dxa"/>
              <w:right w:w="120" w:type="dxa"/>
            </w:tcMar>
            <w:vAlign w:val="center"/>
          </w:tcPr>
          <w:p w14:paraId="60A915D4">
            <w:pPr>
              <w:spacing w:after="0"/>
            </w:pPr>
            <w:r>
              <w:t>creatine hydration powder; creatine electrolyte powder; functional water supplements; creatine drink mix; water stacking trend</w:t>
            </w:r>
          </w:p>
        </w:tc>
      </w:tr>
      <w:tr w14:paraId="3C9AEB98">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09524ABA">
            <w:pPr>
              <w:spacing w:after="0"/>
            </w:pPr>
            <w:r>
              <w:rPr>
                <w:b/>
                <w:color w:val="15375B"/>
              </w:rPr>
              <w:t>Search Intent</w:t>
            </w:r>
          </w:p>
        </w:tc>
        <w:tc>
          <w:tcPr>
            <w:tcW w:w="8424" w:type="dxa"/>
            <w:tcMar>
              <w:top w:w="100" w:type="dxa"/>
              <w:left w:w="120" w:type="dxa"/>
              <w:bottom w:w="100" w:type="dxa"/>
              <w:right w:w="120" w:type="dxa"/>
            </w:tcMar>
            <w:vAlign w:val="center"/>
          </w:tcPr>
          <w:p w14:paraId="0F3DEA39">
            <w:pPr>
              <w:spacing w:after="0"/>
            </w:pPr>
            <w:r>
              <w:t>Informational and commercial investigation</w:t>
            </w:r>
          </w:p>
        </w:tc>
      </w:tr>
      <w:tr w14:paraId="504959CB">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7772D356">
            <w:pPr>
              <w:spacing w:after="0"/>
            </w:pPr>
            <w:r>
              <w:rPr>
                <w:b/>
                <w:color w:val="15375B"/>
              </w:rPr>
              <w:t>URL Slug</w:t>
            </w:r>
          </w:p>
        </w:tc>
        <w:tc>
          <w:tcPr>
            <w:tcW w:w="8424" w:type="dxa"/>
            <w:tcMar>
              <w:top w:w="100" w:type="dxa"/>
              <w:left w:w="120" w:type="dxa"/>
              <w:bottom w:w="100" w:type="dxa"/>
              <w:right w:w="120" w:type="dxa"/>
            </w:tcMar>
            <w:vAlign w:val="center"/>
          </w:tcPr>
          <w:p w14:paraId="0367FBFE">
            <w:pPr>
              <w:spacing w:after="0"/>
            </w:pPr>
            <w:r>
              <w:t>/water-stacking-creatine-hydration-product-development/</w:t>
            </w:r>
          </w:p>
        </w:tc>
      </w:tr>
      <w:tr w14:paraId="7291845F">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5B74CE08">
            <w:pPr>
              <w:spacing w:after="0"/>
            </w:pPr>
            <w:r>
              <w:rPr>
                <w:b/>
                <w:color w:val="15375B"/>
              </w:rPr>
              <w:t>Meta Title</w:t>
            </w:r>
          </w:p>
        </w:tc>
        <w:tc>
          <w:tcPr>
            <w:tcW w:w="8424" w:type="dxa"/>
            <w:tcMar>
              <w:top w:w="100" w:type="dxa"/>
              <w:left w:w="120" w:type="dxa"/>
              <w:bottom w:w="100" w:type="dxa"/>
              <w:right w:w="120" w:type="dxa"/>
            </w:tcMar>
            <w:vAlign w:val="center"/>
          </w:tcPr>
          <w:p w14:paraId="1D38A6BD">
            <w:pPr>
              <w:spacing w:after="0"/>
            </w:pPr>
            <w:r>
              <w:t>Why Is Everyone Adding Creatine to Their Water</w:t>
            </w:r>
          </w:p>
        </w:tc>
      </w:tr>
      <w:tr w14:paraId="2E49A5C0">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06B3612A">
            <w:pPr>
              <w:spacing w:after="0"/>
            </w:pPr>
            <w:r>
              <w:rPr>
                <w:b/>
                <w:color w:val="15375B"/>
              </w:rPr>
              <w:t>Meta Description</w:t>
            </w:r>
          </w:p>
        </w:tc>
        <w:tc>
          <w:tcPr>
            <w:tcW w:w="8424" w:type="dxa"/>
            <w:tcMar>
              <w:top w:w="100" w:type="dxa"/>
              <w:left w:w="120" w:type="dxa"/>
              <w:bottom w:w="100" w:type="dxa"/>
              <w:right w:w="120" w:type="dxa"/>
            </w:tcMar>
            <w:vAlign w:val="center"/>
          </w:tcPr>
          <w:p w14:paraId="6EA8E3E0">
            <w:pPr>
              <w:spacing w:after="0"/>
            </w:pPr>
            <w:r>
              <w:t>Creatine, electrolytes and more are moving into one daily drink. See why water stacking matters and what brands should solve before following it.</w:t>
            </w:r>
          </w:p>
        </w:tc>
      </w:tr>
    </w:tbl>
    <w:p w14:paraId="3F2AE214"/>
    <w:p w14:paraId="7DB8F329">
      <w:pPr>
        <w:pStyle w:val="3"/>
      </w:pPr>
      <w:r>
        <w:t>H1  Why Is Everyone Putting Creatine and Electrolytes in Their Water?</w:t>
      </w:r>
    </w:p>
    <w:p w14:paraId="5B67ADC8">
      <w:r>
        <w:t>At a morning meeting, someone empties an electrolyte sachet into sparkling water. At lunch, another person adds creatine and a fruit-flavoured powder to the same bottle. Before bed, magnesium replaces the final cup of tea. Plain water is starting to look less like a drink and more like a blank formula.</w:t>
      </w:r>
    </w:p>
    <w:p w14:paraId="6EFE33F6">
      <w:r>
        <w:t>Social media has given the habit a name: water stacking. At first glance it looks like another wellness trend built for short videos. Look closer, and it points to a bigger change. Consumers are no longer asking only which supplements to take; they are asking how those supplements can fit into something they already do every day.</w:t>
      </w:r>
    </w:p>
    <w:p w14:paraId="5D618C0D">
      <w:pPr>
        <w:pStyle w:val="4"/>
      </w:pPr>
      <w:r>
        <w:t>H2  So What Is Water Stacking, Exactly?</w:t>
      </w:r>
    </w:p>
    <w:p w14:paraId="29A379AF">
      <w:r>
        <w:t>Water stacking means building a customised drink by adding functional ingredients such as electrolytes, creatine, collagen, fibre or flavour powders to water. The appeal is not difficult to understand: one bottle feels easier than several tubs, capsules and reminders. It turns supplementation into a visible daily ritual rather than another task.</w:t>
      </w:r>
    </w:p>
    <w:p w14:paraId="7D91D0A3">
      <w:r>
        <w:t>That convenience is real, but the health halo can run ahead of the evidence. Combining familiar ingredients does not automatically improve absorption or hydration, and several products may quietly duplicate the same vitamins or minerals. Water stacking describes a behaviour, not a clinically defined nutrition strategy.</w:t>
      </w:r>
    </w:p>
    <w:p w14:paraId="755C5B5F">
      <w:pPr>
        <w:pStyle w:val="4"/>
      </w:pPr>
      <w:r>
        <w:t>H2  Why This Looks Bigger Than a TikTok Trick</w:t>
      </w:r>
    </w:p>
    <w:p w14:paraId="1DB396BA">
      <w:r>
        <w:t>The interesting part is not the phrase water stacking. Trend names come and go. The durable signal is that powders once associated with a gym shelf are moving into ordinary drinks, work bags and travel routines. Creatine is part of that shift because it has become familiar beyond traditional bodybuilding audiences, while electrolyte products already fit naturally into water.</w:t>
      </w:r>
    </w:p>
    <w:p w14:paraId="77682820">
      <w:r>
        <w:t>The format also removes friction. A single stick pack can be easier to carry and remember than separate containers. That does not prove every stack is useful, but it gives brands a clear commercial question: can an improvised consumer habit be turned into a simpler, better-controlled product?</w:t>
      </w:r>
    </w:p>
    <w:p w14:paraId="2C987224">
      <w:pPr>
        <w:pStyle w:val="4"/>
      </w:pPr>
      <w:r>
        <w:t>H2  The Business Is Not in the Water. It Is in Making the Ritual Easier</w:t>
      </w:r>
    </w:p>
    <w:p w14:paraId="6D1EBCA4">
      <w:r>
        <w:t>For product developers, the obvious format is a portioned powder: tear, pour, shake and drink. The harder decision is what the sachet is actually for. A creatine-and-electrolyte product for training, a lightly flavoured daily creatine drink and a broad wellness blend may all use the same packet but need different doses, tastes and messages.</w:t>
      </w:r>
    </w:p>
    <w:p w14:paraId="0302773C">
      <w:r>
        <w:t>The strongest concept is unlikely to be the sachet with the longest ingredient list. It is the one that solves a recognisable moment with fewer steps. That may mean a meaningful creatine serving plus a deliberately chosen electrolyte profile, rather than six trendy ingredients competing for space, flavour and consumer attention.</w:t>
      </w:r>
    </w:p>
    <w:p w14:paraId="31205789">
      <w:pPr>
        <w:pStyle w:val="4"/>
      </w:pPr>
      <w:r>
        <w:t>H2  A Good Trend Can Still Become a Bad Formula</w:t>
      </w:r>
    </w:p>
    <w:p w14:paraId="73B73B33">
      <w:r>
        <w:t>This is where a social-media ritual meets production reality. Creatine is used at gram-level quantities and can dominate the powder mass. Electrolyte salts affect taste and ionic strength. Acids may improve flavour while changing the environment after mixing; fibre, protein or botanicals may add viscosity, sediment or foam. Familiar ingredients can still behave badly together.</w:t>
      </w:r>
    </w:p>
    <w:p w14:paraId="683CAB73">
      <w:r>
        <w:t>Development trials should measure:</w:t>
      </w:r>
    </w:p>
    <w:p w14:paraId="41CC511A">
      <w:pPr>
        <w:pStyle w:val="16"/>
        <w:spacing w:after="80"/>
      </w:pPr>
      <w:r>
        <w:t>serving-level creatine and electrolyte content;</w:t>
      </w:r>
    </w:p>
    <w:p w14:paraId="30032180">
      <w:pPr>
        <w:pStyle w:val="16"/>
        <w:spacing w:after="80"/>
      </w:pPr>
      <w:r>
        <w:t>dispersion, sediment and flavour at the instructed water volume;</w:t>
      </w:r>
    </w:p>
    <w:p w14:paraId="0CB705BE">
      <w:pPr>
        <w:pStyle w:val="16"/>
        <w:spacing w:after="80"/>
      </w:pPr>
      <w:r>
        <w:t>moisture uptake and caking in the unopened pack;</w:t>
      </w:r>
    </w:p>
    <w:p w14:paraId="227578C2">
      <w:pPr>
        <w:pStyle w:val="16"/>
        <w:spacing w:after="80"/>
      </w:pPr>
      <w:r>
        <w:t>creatine and creatinine at relevant release and stability intervals;</w:t>
      </w:r>
    </w:p>
    <w:p w14:paraId="1A7769DB">
      <w:pPr>
        <w:pStyle w:val="16"/>
        <w:spacing w:after="80"/>
      </w:pPr>
      <w:r>
        <w:t>consumer directions that discourage unplanned ingredient stacking.</w:t>
      </w:r>
    </w:p>
    <w:p w14:paraId="4DE3CDF7">
      <w:pPr>
        <w:pStyle w:val="4"/>
      </w:pPr>
      <w:r>
        <w:t>H2  Three Questions Before Turning the Trend Into a Product</w:t>
      </w:r>
    </w:p>
    <w:p w14:paraId="7F7B1113">
      <w:r>
        <w:t>First, who will drink it repeatedly after the novelty wears off? Second, does each featured ingredient appear at a meaningful and supportable dose? Third, can the complete formula survive real manufacturing, packaging and use conditions? If any answer is unclear, the product is still a trend board rather than a development brief.</w:t>
      </w:r>
    </w:p>
    <w:p w14:paraId="6E57CAC2">
      <w:r>
        <w:t>SRS Nutrition Express supplies creatine monohydrate in multiple particle-size specifications and can provide grade specifications, lot documentation, samples and available physical-property data for trials. Share the intended use, daily dose, water volume, flavour system, packaging and destination market. We can help narrow the ingredient options before the concept reaches the line; the finished formula and shelf-life evidence must still be demonstrated by the brand and manufacturer.</w:t>
      </w:r>
    </w:p>
    <w:p w14:paraId="0D8F72D0">
      <w:pPr>
        <w:pStyle w:val="4"/>
      </w:pPr>
      <w:r>
        <w:t>H2  What This Trend Does - and Does Not - Prove</w:t>
      </w:r>
    </w:p>
    <w:p w14:paraId="4AFF6FC7">
      <w:pPr>
        <w:pStyle w:val="16"/>
        <w:spacing w:after="80"/>
      </w:pPr>
      <w:r>
        <w:t>Water stacking is a consumer behaviour, not proof that multi-ingredient drinks outperform water or a balanced diet.</w:t>
      </w:r>
    </w:p>
    <w:p w14:paraId="37207253">
      <w:pPr>
        <w:pStyle w:val="16"/>
        <w:spacing w:after="80"/>
      </w:pPr>
      <w:r>
        <w:t>An authorised claim applies only when its exact market and conditions of use are met.</w:t>
      </w:r>
    </w:p>
    <w:p w14:paraId="73014851">
      <w:pPr>
        <w:pStyle w:val="16"/>
        <w:spacing w:after="80"/>
      </w:pPr>
      <w:r>
        <w:t>Dry-powder stability cannot be transferred automatically to an acidic ready-to-drink beverage.</w:t>
      </w:r>
    </w:p>
    <w:p w14:paraId="155630A0">
      <w:pPr>
        <w:pStyle w:val="16"/>
        <w:spacing w:after="80"/>
      </w:pPr>
      <w:r>
        <w:t>The compatibility of a stacked formula must be demonstrated in the final product.</w:t>
      </w:r>
    </w:p>
    <w:p w14:paraId="7AEBCD9F">
      <w:pPr>
        <w:pStyle w:val="4"/>
      </w:pPr>
      <w:r>
        <w:t>Recommended Reading</w:t>
      </w:r>
    </w:p>
    <w:p w14:paraId="14A2D6BB">
      <w:pPr>
        <w:pStyle w:val="16"/>
      </w:pPr>
      <w:r>
        <w:fldChar w:fldCharType="begin"/>
      </w:r>
      <w:r>
        <w:instrText xml:space="preserve"> HYPERLINK "https://www.srs-nutritionexpress.com/news/creatine-mesh-size-particle-size-distribution/" \h </w:instrText>
      </w:r>
      <w:r>
        <w:fldChar w:fldCharType="separate"/>
      </w:r>
      <w:r>
        <w:rPr>
          <w:color w:val="159BD3"/>
          <w:u w:val="single"/>
        </w:rPr>
        <w:t>Creatine Mesh Size vs Particle Size Distribution</w:t>
      </w:r>
      <w:r>
        <w:rPr>
          <w:color w:val="159BD3"/>
          <w:u w:val="single"/>
        </w:rPr>
        <w:fldChar w:fldCharType="end"/>
      </w:r>
    </w:p>
    <w:p w14:paraId="06AB03C0">
      <w:pPr>
        <w:pStyle w:val="16"/>
      </w:pPr>
      <w:r>
        <w:fldChar w:fldCharType="begin"/>
      </w:r>
      <w:r>
        <w:instrText xml:space="preserve"> HYPERLINK "https://www.srs-nutritionexpress.com/news/creatine-monohydrate-specification-sheet/" \h </w:instrText>
      </w:r>
      <w:r>
        <w:fldChar w:fldCharType="separate"/>
      </w:r>
      <w:r>
        <w:rPr>
          <w:color w:val="159BD3"/>
          <w:u w:val="single"/>
        </w:rPr>
        <w:t>How to Read a Creatine Monohydrate Specification Sheet</w:t>
      </w:r>
      <w:r>
        <w:rPr>
          <w:color w:val="159BD3"/>
          <w:u w:val="single"/>
        </w:rPr>
        <w:fldChar w:fldCharType="end"/>
      </w:r>
    </w:p>
    <w:p w14:paraId="65F6E07C">
      <w:pPr>
        <w:pStyle w:val="4"/>
      </w:pPr>
      <w:r>
        <w:t>References</w:t>
      </w:r>
    </w:p>
    <w:p w14:paraId="614DFE22">
      <w:pPr>
        <w:ind w:left="259" w:hanging="259"/>
      </w:pPr>
      <w:r>
        <w:t xml:space="preserve">1. European Commission. Regulation EU No 432/2012 establishing permitted health claims on foods. </w:t>
      </w:r>
      <w:r>
        <w:fldChar w:fldCharType="begin"/>
      </w:r>
      <w:r>
        <w:instrText xml:space="preserve"> HYPERLINK "https://eur-lex.europa.eu/eli/reg/2012/432/2024-08-19/eng" \h </w:instrText>
      </w:r>
      <w:r>
        <w:fldChar w:fldCharType="separate"/>
      </w:r>
      <w:r>
        <w:rPr>
          <w:color w:val="159BD3"/>
          <w:u w:val="single"/>
        </w:rPr>
        <w:t>https://eur-lex.europa.eu/eli/reg/2012/432/2024-08-19/eng</w:t>
      </w:r>
      <w:r>
        <w:rPr>
          <w:color w:val="159BD3"/>
          <w:u w:val="single"/>
        </w:rPr>
        <w:fldChar w:fldCharType="end"/>
      </w:r>
    </w:p>
    <w:p w14:paraId="775DFD93">
      <w:pPr>
        <w:ind w:left="259" w:hanging="259"/>
      </w:pPr>
      <w:r>
        <w:t xml:space="preserve">2. Uzzan M, Nechrebeki J, Zhou P, Labuza TP. Effect of water activity and temperature on the stability of creatine during storage. Drug Development and Industrial Pharmacy. 2009;35(8):1003–1008. DOI 10.1080/03639040902755197. </w:t>
      </w:r>
      <w:r>
        <w:fldChar w:fldCharType="begin"/>
      </w:r>
      <w:r>
        <w:instrText xml:space="preserve"> HYPERLINK "https://pubmed.ncbi.nlm.nih.gov/19635041/" \h </w:instrText>
      </w:r>
      <w:r>
        <w:fldChar w:fldCharType="separate"/>
      </w:r>
      <w:r>
        <w:rPr>
          <w:color w:val="159BD3"/>
          <w:u w:val="single"/>
        </w:rPr>
        <w:t>https://pubmed.ncbi.nlm.nih.gov/19635041/</w:t>
      </w:r>
      <w:r>
        <w:rPr>
          <w:color w:val="159BD3"/>
          <w:u w:val="single"/>
        </w:rPr>
        <w:fldChar w:fldCharType="end"/>
      </w:r>
    </w:p>
    <w:p w14:paraId="307B33C5">
      <w:pPr>
        <w:ind w:left="259" w:hanging="259"/>
      </w:pPr>
      <w:r>
        <w:t xml:space="preserve">3. Jäger R, Purpura M, Shao A, Inoue T, Kreider RB. Analysis of the efficacy, safety, and regulatory status of novel forms of creatine. Amino Acids. 2011;40:1369–1383. </w:t>
      </w:r>
      <w:r>
        <w:fldChar w:fldCharType="begin"/>
      </w:r>
      <w:r>
        <w:instrText xml:space="preserve"> HYPERLINK "https://pmc.ncbi.nlm.nih.gov/articles/PMC3080578/" \h </w:instrText>
      </w:r>
      <w:r>
        <w:fldChar w:fldCharType="separate"/>
      </w:r>
      <w:r>
        <w:rPr>
          <w:color w:val="159BD3"/>
          <w:u w:val="single"/>
        </w:rPr>
        <w:t>https://pmc.ncbi.nlm.nih.gov/articles/PMC3080578/</w:t>
      </w:r>
      <w:r>
        <w:rPr>
          <w:color w:val="159BD3"/>
          <w:u w:val="single"/>
        </w:rPr>
        <w:fldChar w:fldCharType="end"/>
      </w:r>
    </w:p>
    <w:p w14:paraId="276319F7">
      <w:pPr>
        <w:ind w:left="259" w:hanging="259"/>
      </w:pPr>
      <w:r>
        <w:t xml:space="preserve">4. SELF. What Is Stacked Water and Is It Better Than Regular Water. February 2026. Used only to document the consumer trend. </w:t>
      </w:r>
      <w:r>
        <w:fldChar w:fldCharType="begin"/>
      </w:r>
      <w:r>
        <w:instrText xml:space="preserve"> HYPERLINK "https://www.self.com/story/what-is-stacked-water" \h </w:instrText>
      </w:r>
      <w:r>
        <w:fldChar w:fldCharType="separate"/>
      </w:r>
      <w:r>
        <w:rPr>
          <w:color w:val="159BD3"/>
          <w:u w:val="single"/>
        </w:rPr>
        <w:t>https://www.self.com/story/what-is-stacked-water</w:t>
      </w:r>
      <w:r>
        <w:rPr>
          <w:color w:val="159BD3"/>
          <w:u w:val="single"/>
        </w:rPr>
        <w:fldChar w:fldCharType="end"/>
      </w:r>
    </w:p>
    <w:p w14:paraId="1D1815C3">
      <w:pPr>
        <w:pStyle w:val="5"/>
        <w:keepNext w:val="0"/>
        <w:keepLines w:val="0"/>
        <w:widowControl/>
        <w:suppressLineNumbers w:val="0"/>
      </w:pPr>
      <w:r>
        <w:t>Main Image</w:t>
      </w:r>
    </w:p>
    <w:p w14:paraId="2AA82621">
      <w:pPr>
        <w:keepNext w:val="0"/>
        <w:keepLines w:val="0"/>
        <w:widowControl/>
        <w:numPr>
          <w:ilvl w:val="0"/>
          <w:numId w:val="7"/>
        </w:numPr>
        <w:suppressLineNumbers w:val="0"/>
        <w:spacing w:before="0" w:beforeAutospacing="1" w:after="0" w:afterAutospacing="1"/>
        <w:ind w:left="720" w:hanging="360"/>
      </w:pPr>
      <w:r>
        <w:rPr>
          <w:rStyle w:val="133"/>
        </w:rPr>
        <w:t>Main Image Title:</w:t>
      </w:r>
      <w:r>
        <w:t xml:space="preserve"> </w:t>
      </w:r>
      <w:r>
        <w:rPr>
          <w:rStyle w:val="135"/>
        </w:rPr>
        <w:t>Why Is Everyone Adding Supplements to Water?</w:t>
      </w:r>
      <w:r>
        <w:t xml:space="preserve"> </w:t>
      </w:r>
    </w:p>
    <w:p w14:paraId="64539645">
      <w:pPr>
        <w:keepNext w:val="0"/>
        <w:keepLines w:val="0"/>
        <w:widowControl/>
        <w:numPr>
          <w:ilvl w:val="0"/>
          <w:numId w:val="7"/>
        </w:numPr>
        <w:suppressLineNumbers w:val="0"/>
        <w:spacing w:before="0" w:beforeAutospacing="1" w:after="0" w:afterAutospacing="1"/>
        <w:ind w:left="720" w:hanging="360"/>
      </w:pPr>
      <w:r>
        <w:rPr>
          <w:rStyle w:val="133"/>
        </w:rPr>
        <w:t>Subtitle:</w:t>
      </w:r>
      <w:r>
        <w:t xml:space="preserve"> </w:t>
      </w:r>
      <w:r>
        <w:rPr>
          <w:rStyle w:val="135"/>
        </w:rPr>
        <w:t>Creatine, Electrolytes and the Water Stacking Trend</w:t>
      </w:r>
      <w:r>
        <w:t xml:space="preserve"> </w:t>
      </w:r>
    </w:p>
    <w:p w14:paraId="0F76D8A7">
      <w:pPr>
        <w:keepNext w:val="0"/>
        <w:keepLines w:val="0"/>
        <w:widowControl/>
        <w:numPr>
          <w:ilvl w:val="0"/>
          <w:numId w:val="7"/>
        </w:numPr>
        <w:suppressLineNumbers w:val="0"/>
        <w:spacing w:before="0" w:beforeAutospacing="1" w:after="0" w:afterAutospacing="1"/>
        <w:ind w:left="720" w:hanging="360"/>
      </w:pPr>
      <w:r>
        <w:rPr>
          <w:rStyle w:val="133"/>
        </w:rPr>
        <w:t>Filename:</w:t>
      </w:r>
      <w:r>
        <w:t xml:space="preserve"> </w:t>
      </w:r>
      <w:r>
        <w:rPr>
          <w:rStyle w:val="135"/>
        </w:rPr>
        <w:t>water-stacking-creatine-electrolytes-trend.png</w:t>
      </w:r>
      <w:r>
        <w:t xml:space="preserve"> </w:t>
      </w:r>
    </w:p>
    <w:p w14:paraId="361E0F91">
      <w:pPr>
        <w:keepNext w:val="0"/>
        <w:keepLines w:val="0"/>
        <w:widowControl/>
        <w:numPr>
          <w:ilvl w:val="0"/>
          <w:numId w:val="7"/>
        </w:numPr>
        <w:suppressLineNumbers w:val="0"/>
        <w:spacing w:before="0" w:beforeAutospacing="1" w:after="0" w:afterAutospacing="1"/>
        <w:ind w:left="720" w:hanging="360"/>
      </w:pPr>
      <w:r>
        <w:rPr>
          <w:rStyle w:val="133"/>
        </w:rPr>
        <w:t>Title:</w:t>
      </w:r>
      <w:r>
        <w:t xml:space="preserve"> </w:t>
      </w:r>
      <w:r>
        <w:rPr>
          <w:rStyle w:val="135"/>
        </w:rPr>
        <w:t>Why Is Everyone Putting Creatine and Electrolytes in Their Water?</w:t>
      </w:r>
      <w:r>
        <w:t xml:space="preserve"> </w:t>
      </w:r>
    </w:p>
    <w:p w14:paraId="6C9AAC19">
      <w:pPr>
        <w:keepNext w:val="0"/>
        <w:keepLines w:val="0"/>
        <w:widowControl/>
        <w:numPr>
          <w:ilvl w:val="0"/>
          <w:numId w:val="7"/>
        </w:numPr>
        <w:suppressLineNumbers w:val="0"/>
        <w:spacing w:before="0" w:beforeAutospacing="1" w:after="0" w:afterAutospacing="1"/>
        <w:ind w:left="720" w:hanging="360"/>
      </w:pPr>
      <w:r>
        <w:rPr>
          <w:rStyle w:val="133"/>
        </w:rPr>
        <w:t>Alt:</w:t>
      </w:r>
      <w:r>
        <w:t xml:space="preserve"> </w:t>
      </w:r>
      <w:r>
        <w:rPr>
          <w:rStyle w:val="135"/>
        </w:rPr>
        <w:t>Creatine powder, an electrolyte stick pack and a water bottle illustrating the water stacking trend</w:t>
      </w:r>
      <w:r>
        <w:t xml:space="preserve"> </w:t>
      </w:r>
    </w:p>
    <w:p w14:paraId="0B4C9C87">
      <w:pPr>
        <w:keepNext w:val="0"/>
        <w:keepLines w:val="0"/>
        <w:widowControl/>
        <w:numPr>
          <w:ilvl w:val="0"/>
          <w:numId w:val="7"/>
        </w:numPr>
        <w:suppressLineNumbers w:val="0"/>
        <w:spacing w:before="0" w:beforeAutospacing="1" w:after="0" w:afterAutospacing="1"/>
        <w:ind w:left="720" w:hanging="360"/>
      </w:pPr>
      <w:r>
        <w:rPr>
          <w:rStyle w:val="133"/>
        </w:rPr>
        <w:t>Insert position:</w:t>
      </w:r>
      <w:r>
        <w:t xml:space="preserve"> After the H1 </w:t>
      </w:r>
      <w:r>
        <w:rPr>
          <w:rStyle w:val="135"/>
        </w:rPr>
        <w:t>Why Is Everyone Putting Creatine and Electrolytes in Their Water?</w:t>
      </w:r>
      <w:r>
        <w:t xml:space="preserve"> and before the first introductory paragraph. </w:t>
      </w:r>
    </w:p>
    <w:p w14:paraId="7801A0A5">
      <w:pPr>
        <w:keepNext w:val="0"/>
        <w:keepLines w:val="0"/>
        <w:widowControl/>
        <w:numPr>
          <w:ilvl w:val="0"/>
          <w:numId w:val="7"/>
        </w:numPr>
        <w:suppressLineNumbers w:val="0"/>
        <w:spacing w:before="0" w:beforeAutospacing="1" w:after="0" w:afterAutospacing="1"/>
        <w:ind w:left="720" w:hanging="360"/>
      </w:pPr>
      <w:r>
        <w:rPr>
          <w:rStyle w:val="133"/>
        </w:rPr>
        <w:t>Template:</w:t>
      </w:r>
      <w:r>
        <w:t xml:space="preserve"> Embedded image with a right-side semicircular composition </w:t>
      </w:r>
    </w:p>
    <w:p w14:paraId="7FE53E49">
      <w:pPr>
        <w:keepNext w:val="0"/>
        <w:keepLines w:val="0"/>
        <w:widowControl/>
        <w:numPr>
          <w:ilvl w:val="0"/>
          <w:numId w:val="7"/>
        </w:numPr>
        <w:suppressLineNumbers w:val="0"/>
        <w:spacing w:before="0" w:beforeAutospacing="1" w:after="0" w:afterAutospacing="1"/>
        <w:ind w:left="720" w:hanging="360"/>
      </w:pPr>
      <w:r>
        <w:rPr>
          <w:rStyle w:val="133"/>
        </w:rPr>
        <w:t>Title placement:</w:t>
      </w:r>
      <w:r>
        <w:t xml:space="preserve"> Added later through the website template; the generated image contains no text.</w:t>
      </w:r>
    </w:p>
    <w:p w14:paraId="618A590F">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sz w:val="44"/>
          <w:szCs w:val="44"/>
        </w:rPr>
      </w:pPr>
      <w:r>
        <w:rPr>
          <w:rStyle w:val="133"/>
          <w:rFonts w:hint="eastAsia" w:ascii="Times New Roman" w:hAnsi="Times New Roman" w:eastAsia="宋体" w:cs="Times New Roman"/>
          <w:sz w:val="44"/>
          <w:szCs w:val="44"/>
        </w:rPr>
        <w:t>Supporting Image 1</w:t>
      </w:r>
    </w:p>
    <w:p w14:paraId="1D809A81">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Filename: water-stacking-daily-mixing-routine.png</w:t>
      </w:r>
    </w:p>
    <w:p w14:paraId="42FBED0A">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Title: Water Stacking as a Daily Supplement Routine</w:t>
      </w:r>
    </w:p>
    <w:p w14:paraId="4E234B02">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Alt: Person pouring an unbranded supplement stick pack into a clear water bottle as part of a daily water stacking routine</w:t>
      </w:r>
    </w:p>
    <w:p w14:paraId="2076E4A8">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Insert position: Under H2 So What Is Water Stacking, Exactly?, after:</w:t>
      </w:r>
    </w:p>
    <w:p w14:paraId="633E9CC9">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p>
    <w:p w14:paraId="201D9790">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It turns supplementation into a visible daily ritual rather than another task.</w:t>
      </w:r>
    </w:p>
    <w:p w14:paraId="6A0F14D8">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p>
    <w:p w14:paraId="50C703F0">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sz w:val="44"/>
          <w:szCs w:val="44"/>
        </w:rPr>
      </w:pPr>
      <w:r>
        <w:rPr>
          <w:rStyle w:val="133"/>
          <w:rFonts w:hint="eastAsia" w:ascii="Times New Roman" w:hAnsi="Times New Roman" w:eastAsia="宋体" w:cs="Times New Roman"/>
          <w:sz w:val="44"/>
          <w:szCs w:val="44"/>
        </w:rPr>
        <w:t>Supporting Image 2</w:t>
      </w:r>
    </w:p>
    <w:p w14:paraId="16615822">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Filename: water-stacking-stick-pack-formulation-trial.png</w:t>
      </w:r>
    </w:p>
    <w:p w14:paraId="6532AF70">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Title: Water Stacking Stick Pack Formulation Trial</w:t>
      </w:r>
    </w:p>
    <w:p w14:paraId="304C50CC">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Alt: Unbranded stick packs, measured powder ingredients and a mixing glass arranged for a functional drink formulation trial</w:t>
      </w:r>
    </w:p>
    <w:p w14:paraId="761E1C03">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r>
        <w:rPr>
          <w:rStyle w:val="133"/>
          <w:rFonts w:hint="eastAsia" w:ascii="Times New Roman" w:hAnsi="Times New Roman" w:eastAsia="宋体" w:cs="Times New Roman"/>
        </w:rPr>
        <w:t>Insert position: Under H2 A Good Trend Can Still Become a Bad Formula, after:</w:t>
      </w:r>
    </w:p>
    <w:p w14:paraId="30551306">
      <w:pPr>
        <w:keepNext w:val="0"/>
        <w:keepLines w:val="0"/>
        <w:widowControl/>
        <w:numPr>
          <w:ilvl w:val="0"/>
          <w:numId w:val="7"/>
        </w:numPr>
        <w:suppressLineNumbers w:val="0"/>
        <w:spacing w:before="0" w:beforeAutospacing="1" w:after="0" w:afterAutospacing="1"/>
        <w:ind w:left="720" w:hanging="360"/>
        <w:rPr>
          <w:rStyle w:val="133"/>
          <w:rFonts w:hint="eastAsia" w:ascii="Times New Roman" w:hAnsi="Times New Roman" w:eastAsia="宋体" w:cs="Times New Roman"/>
        </w:rPr>
      </w:pPr>
    </w:p>
    <w:p w14:paraId="75B010DF">
      <w:r>
        <w:rPr>
          <w:rStyle w:val="133"/>
          <w:rFonts w:hint="eastAsia" w:ascii="Times New Roman" w:hAnsi="Times New Roman" w:eastAsia="宋体" w:cs="Times New Roman"/>
        </w:rPr>
        <w:t>Familiar ingredients can still behave badly together.</w:t>
      </w:r>
      <w:r>
        <w:br w:type="page"/>
      </w:r>
    </w:p>
    <w:p w14:paraId="0C623E15">
      <w:pPr>
        <w:pStyle w:val="3"/>
      </w:pPr>
      <w:r>
        <w:t>Article 3</w:t>
      </w:r>
    </w:p>
    <w:tbl>
      <w:tblPr>
        <w:tblStyle w:val="32"/>
        <w:tblW w:w="0" w:type="auto"/>
        <w:jc w:val="center"/>
        <w:tblLayout w:type="fixed"/>
        <w:tblCellMar>
          <w:top w:w="0" w:type="dxa"/>
          <w:left w:w="108" w:type="dxa"/>
          <w:bottom w:w="0" w:type="dxa"/>
          <w:right w:w="108" w:type="dxa"/>
        </w:tblCellMar>
      </w:tblPr>
      <w:tblGrid>
        <w:gridCol w:w="1944"/>
        <w:gridCol w:w="8424"/>
      </w:tblGrid>
      <w:tr w14:paraId="36D8F2A1">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64D8C57B">
            <w:pPr>
              <w:spacing w:after="0"/>
            </w:pPr>
            <w:r>
              <w:rPr>
                <w:b/>
                <w:color w:val="15375B"/>
              </w:rPr>
              <w:t>Primary Keyword</w:t>
            </w:r>
          </w:p>
        </w:tc>
        <w:tc>
          <w:tcPr>
            <w:tcW w:w="8424" w:type="dxa"/>
            <w:tcMar>
              <w:top w:w="100" w:type="dxa"/>
              <w:left w:w="120" w:type="dxa"/>
              <w:bottom w:w="100" w:type="dxa"/>
              <w:right w:w="120" w:type="dxa"/>
            </w:tcMar>
            <w:vAlign w:val="center"/>
          </w:tcPr>
          <w:p w14:paraId="7257468C">
            <w:pPr>
              <w:spacing w:after="0"/>
            </w:pPr>
            <w:r>
              <w:t>creatine gummy testing</w:t>
            </w:r>
          </w:p>
        </w:tc>
      </w:tr>
      <w:tr w14:paraId="0DF66284">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7F567E99">
            <w:pPr>
              <w:spacing w:after="0"/>
            </w:pPr>
            <w:r>
              <w:rPr>
                <w:b/>
                <w:color w:val="15375B"/>
              </w:rPr>
              <w:t>Secondary Keywords</w:t>
            </w:r>
          </w:p>
        </w:tc>
        <w:tc>
          <w:tcPr>
            <w:tcW w:w="8424" w:type="dxa"/>
            <w:tcMar>
              <w:top w:w="100" w:type="dxa"/>
              <w:left w:w="120" w:type="dxa"/>
              <w:bottom w:w="100" w:type="dxa"/>
              <w:right w:w="120" w:type="dxa"/>
            </w:tcMar>
            <w:vAlign w:val="center"/>
          </w:tcPr>
          <w:p w14:paraId="520E0414">
            <w:pPr>
              <w:spacing w:after="0"/>
            </w:pPr>
            <w:r>
              <w:t>creatine gummy potency; creatine gummy stability; 5 g creatine gummies; finished-product creatine assay; creatine gummy shelf life</w:t>
            </w:r>
          </w:p>
        </w:tc>
      </w:tr>
      <w:tr w14:paraId="47DD66B1">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0661CC8B">
            <w:pPr>
              <w:spacing w:after="0"/>
            </w:pPr>
            <w:r>
              <w:rPr>
                <w:b/>
                <w:color w:val="15375B"/>
              </w:rPr>
              <w:t>Search Intent</w:t>
            </w:r>
          </w:p>
        </w:tc>
        <w:tc>
          <w:tcPr>
            <w:tcW w:w="8424" w:type="dxa"/>
            <w:tcMar>
              <w:top w:w="100" w:type="dxa"/>
              <w:left w:w="120" w:type="dxa"/>
              <w:bottom w:w="100" w:type="dxa"/>
              <w:right w:w="120" w:type="dxa"/>
            </w:tcMar>
            <w:vAlign w:val="center"/>
          </w:tcPr>
          <w:p w14:paraId="56FB599D">
            <w:pPr>
              <w:spacing w:after="0"/>
            </w:pPr>
            <w:r>
              <w:t>Informational and commercial investigation</w:t>
            </w:r>
          </w:p>
        </w:tc>
      </w:tr>
      <w:tr w14:paraId="3EBDDA29">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0E00FD46">
            <w:pPr>
              <w:spacing w:after="0"/>
            </w:pPr>
            <w:r>
              <w:rPr>
                <w:b/>
                <w:color w:val="15375B"/>
              </w:rPr>
              <w:t>URL Slug</w:t>
            </w:r>
          </w:p>
        </w:tc>
        <w:tc>
          <w:tcPr>
            <w:tcW w:w="8424" w:type="dxa"/>
            <w:tcMar>
              <w:top w:w="100" w:type="dxa"/>
              <w:left w:w="120" w:type="dxa"/>
              <w:bottom w:w="100" w:type="dxa"/>
              <w:right w:w="120" w:type="dxa"/>
            </w:tcMar>
            <w:vAlign w:val="center"/>
          </w:tcPr>
          <w:p w14:paraId="47DB3BEA">
            <w:pPr>
              <w:spacing w:after="0"/>
            </w:pPr>
            <w:r>
              <w:t>/creatine-gummy-testing-potency-stability/</w:t>
            </w:r>
          </w:p>
        </w:tc>
      </w:tr>
      <w:tr w14:paraId="6C6E1B80">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026BC05A">
            <w:pPr>
              <w:spacing w:after="0"/>
            </w:pPr>
            <w:r>
              <w:rPr>
                <w:b/>
                <w:color w:val="15375B"/>
              </w:rPr>
              <w:t>Meta Title</w:t>
            </w:r>
          </w:p>
        </w:tc>
        <w:tc>
          <w:tcPr>
            <w:tcW w:w="8424" w:type="dxa"/>
            <w:tcMar>
              <w:top w:w="100" w:type="dxa"/>
              <w:left w:w="120" w:type="dxa"/>
              <w:bottom w:w="100" w:type="dxa"/>
              <w:right w:w="120" w:type="dxa"/>
            </w:tcMar>
            <w:vAlign w:val="center"/>
          </w:tcPr>
          <w:p w14:paraId="057AE9D9">
            <w:pPr>
              <w:spacing w:after="0"/>
            </w:pPr>
            <w:r>
              <w:t>Creatine Gummies Are Booming. Can Buyers Trust 5 g</w:t>
            </w:r>
          </w:p>
        </w:tc>
      </w:tr>
      <w:tr w14:paraId="420AA9BE">
        <w:tblPrEx>
          <w:tblCellMar>
            <w:top w:w="0" w:type="dxa"/>
            <w:left w:w="108" w:type="dxa"/>
            <w:bottom w:w="0" w:type="dxa"/>
            <w:right w:w="108" w:type="dxa"/>
          </w:tblCellMar>
        </w:tblPrEx>
        <w:trPr>
          <w:jc w:val="center"/>
        </w:trPr>
        <w:tc>
          <w:tcPr>
            <w:tcW w:w="1944" w:type="dxa"/>
            <w:shd w:val="clear" w:color="auto" w:fill="EAF5FA"/>
            <w:tcMar>
              <w:top w:w="100" w:type="dxa"/>
              <w:left w:w="120" w:type="dxa"/>
              <w:bottom w:w="100" w:type="dxa"/>
              <w:right w:w="120" w:type="dxa"/>
            </w:tcMar>
            <w:vAlign w:val="center"/>
          </w:tcPr>
          <w:p w14:paraId="213E8CFB">
            <w:pPr>
              <w:spacing w:after="0"/>
            </w:pPr>
            <w:r>
              <w:rPr>
                <w:b/>
                <w:color w:val="15375B"/>
              </w:rPr>
              <w:t>Meta Description</w:t>
            </w:r>
          </w:p>
        </w:tc>
        <w:tc>
          <w:tcPr>
            <w:tcW w:w="8424" w:type="dxa"/>
            <w:tcMar>
              <w:top w:w="100" w:type="dxa"/>
              <w:left w:w="120" w:type="dxa"/>
              <w:bottom w:w="100" w:type="dxa"/>
              <w:right w:w="120" w:type="dxa"/>
            </w:tcMar>
            <w:vAlign w:val="center"/>
          </w:tcPr>
          <w:p w14:paraId="60C5B3C1">
            <w:pPr>
              <w:spacing w:after="0"/>
            </w:pPr>
            <w:r>
              <w:t>Creatine gummies are convenient, but market testing has raised a harder question: what proves the 5 g claim through production and shelf life?</w:t>
            </w:r>
          </w:p>
        </w:tc>
      </w:tr>
    </w:tbl>
    <w:p w14:paraId="09822F76"/>
    <w:p w14:paraId="189FF389">
      <w:pPr>
        <w:pStyle w:val="3"/>
      </w:pPr>
      <w:r>
        <w:t>H1  Creatine Gummies Are Booming. So Why Do Consumers Trust Them Less?</w:t>
      </w:r>
    </w:p>
    <w:p w14:paraId="6F331999">
      <w:r>
        <w:t>Creatine gummies solve an obvious problem: no scoop, no shaker and no gritty powder at the bottom of a glass. They take one of the best-known sports-nutrition ingredients and put it into a format that feels closer to a daily snack than a training ritual. It is easy to see why brands keep launching them.</w:t>
      </w:r>
    </w:p>
    <w:p w14:paraId="65020A37">
      <w:r>
        <w:t>Yet the faster the category attracts attention, the harder one number has become to trust: 5 g. Consumers no longer ask only whether a gummy tastes good. They are beginning to ask who tested it, whether the test covered the finished product and whether the amount remains credible months after production. A convenient format has turned into a trust test.</w:t>
      </w:r>
    </w:p>
    <w:p w14:paraId="48F06047">
      <w:pPr>
        <w:pStyle w:val="4"/>
      </w:pPr>
      <w:r>
        <w:t>H2  First, the Appeal Is Real</w:t>
      </w:r>
    </w:p>
    <w:p w14:paraId="768E0472">
      <w:r>
        <w:t>Creatine monohydrate has a large evidence base and is commonly used at daily doses of 3-5 g. Gummies remove measuring and may appeal to consumers who do not want another tub of powder. For brands, they offer flavour, portability and a format that can reach beyond traditional gym users.</w:t>
      </w:r>
    </w:p>
    <w:p w14:paraId="58B938A2">
      <w:r>
        <w:t>That convenience comes with a difficult commercial trade-off. Several grams of creatine occupy substantial space, so the promised daily amount may require larger gummies or more pieces per serving. Texture, sweetness, bottle count and cost all move with that decision. The 5 g on the front label is therefore not only a nutrition number; it shapes the entire product.</w:t>
      </w:r>
    </w:p>
    <w:p w14:paraId="56A54A4C">
      <w:pPr>
        <w:pStyle w:val="4"/>
      </w:pPr>
      <w:r>
        <w:t>H2  Then the Lab Reports Changed the Conversation</w:t>
      </w:r>
    </w:p>
    <w:p w14:paraId="05961DC2">
      <w:r>
        <w:t>In 2025, SuppCo purchased five creatine powders and six creatine gummies and sent unopened products to an independent ISO 17025 laboratory. All five powders passed its assessment, while four of the six gummies failed identity and potency testing. SuppCo reported that the failed gummies contained virtually no creatine.</w:t>
      </w:r>
    </w:p>
    <w:p w14:paraId="6A6D07E4">
      <w:r>
        <w:t>Six products are far too few to judge an entire category, and market testing should not be treated as a regulatory verdict. But the result changed the question. A brand can no longer rely on a large 5000 mg graphic alone. Buyers increasingly want to know which lot was tested, what method was used and whether the result represents the commercial serving.</w:t>
      </w:r>
    </w:p>
    <w:p w14:paraId="43E2B577">
      <w:pPr>
        <w:pStyle w:val="4"/>
      </w:pPr>
      <w:r>
        <w:t>H2  Can a 5 g Creatine Gummy Be Made? Yes - but That Is the Wrong Question</w:t>
      </w:r>
    </w:p>
    <w:p w14:paraId="19A7A6FE">
      <w:r>
        <w:t>A manufacturer can put 5 g of creatine into a formulation. The harder question is what happens next. The material must move through mixing, heating or holding, depositing, setting, coating, packaging, transport and storage before the consumer takes it. A successful product has to survive that whole journey, not only the batch sheet.</w:t>
      </w:r>
    </w:p>
    <w:p w14:paraId="4C2123BF">
      <w:r>
        <w:t>Dry crystalline creatine monohydrate is generally stable when moisture is controlled. Gummies introduce water and often an acidic environment. Research shows that water activity and temperature influence stability; in aqueous conditions, pH and time also matter. Reducing heat exposure may help, but it cannot replace stability evidence in the actual gummy and package.</w:t>
      </w:r>
    </w:p>
    <w:p w14:paraId="0FB96C30">
      <w:pPr>
        <w:pStyle w:val="4"/>
      </w:pPr>
      <w:r>
        <w:t>H2  There Are Three Different Versions of 5 g</w:t>
      </w:r>
    </w:p>
    <w:p w14:paraId="6142EDF3">
      <w:r>
        <w:t>The first 5 g is the amount written into the formula. The second is the amount actually added and reconciled during production. The third is the amount detected in the finished serving at release and supported through shelf life. They may sound identical in a sales discussion, but they answer different questions.</w:t>
      </w:r>
    </w:p>
    <w:p w14:paraId="47C5BBA1">
      <w:r>
        <w:t>A useful testing plan should be developed with the manufacturer and qualified laboratory and should address:</w:t>
      </w:r>
    </w:p>
    <w:p w14:paraId="060E0204">
      <w:pPr>
        <w:pStyle w:val="16"/>
        <w:spacing w:after="80"/>
      </w:pPr>
      <w:r>
        <w:t>identity and quantitative creatine assay using a method suitable for the gummy matrix;</w:t>
      </w:r>
    </w:p>
    <w:p w14:paraId="04941C8A">
      <w:pPr>
        <w:pStyle w:val="16"/>
        <w:spacing w:after="80"/>
      </w:pPr>
      <w:r>
        <w:t>creatinine or other justified degradation monitoring;</w:t>
      </w:r>
    </w:p>
    <w:p w14:paraId="7218E797">
      <w:pPr>
        <w:pStyle w:val="16"/>
        <w:spacing w:after="80"/>
      </w:pPr>
      <w:r>
        <w:t>serving-level content uniformity and relevant in-process controls;</w:t>
      </w:r>
    </w:p>
    <w:p w14:paraId="27EB8E92">
      <w:pPr>
        <w:pStyle w:val="16"/>
        <w:spacing w:after="80"/>
      </w:pPr>
      <w:r>
        <w:t>real-time and, where appropriate, accelerated stability in the intended packaging;</w:t>
      </w:r>
    </w:p>
    <w:p w14:paraId="41E2E8EC">
      <w:pPr>
        <w:pStyle w:val="16"/>
        <w:spacing w:after="80"/>
      </w:pPr>
      <w:r>
        <w:t>water activity, pH, texture and package integrity where they affect product performance;</w:t>
      </w:r>
    </w:p>
    <w:p w14:paraId="0E3A7D75">
      <w:pPr>
        <w:pStyle w:val="16"/>
        <w:spacing w:after="80"/>
      </w:pPr>
      <w:r>
        <w:t>predefined acceptance criteria, sampling points and handling of atypical or OOS results.</w:t>
      </w:r>
    </w:p>
    <w:p w14:paraId="2703C50D">
      <w:r>
        <w:t>A method that works for pure creatine powder may need recovery, specificity and interference work before it can handle sugars, polyols, acids, colours and gelling agents. The laboratory report should identify the method and reporting basis. A bare pass or fail result leaves too many questions unanswered.</w:t>
      </w:r>
    </w:p>
    <w:p w14:paraId="00DDF880">
      <w:pPr>
        <w:pStyle w:val="4"/>
      </w:pPr>
      <w:r>
        <w:t>H2  Do Not Ask the Factory Only One Question</w:t>
      </w:r>
    </w:p>
    <w:p w14:paraId="323AEFBE">
      <w:r>
        <w:t>If the first question is only 'Can you make a 5 g gummy?', the answer will usually be yes. Better questions are: how many pieces make a serving, how is the finished gummy tested, what happens at the end of shelf life, and how are atypical results investigated? Those answers reveal more than a theoretical maximum loading.</w:t>
      </w:r>
    </w:p>
    <w:p w14:paraId="591B6FFE">
      <w:r>
        <w:t>The raw-material COA still matters, but it stops at the factory door. It can show that incoming creatine met its specification; it cannot prove how evenly the ingredient was distributed, how processing affected recovery or what remains later. Those are finished-product questions.</w:t>
      </w:r>
    </w:p>
    <w:p w14:paraId="4BEFFEB5">
      <w:pPr>
        <w:pStyle w:val="4"/>
      </w:pPr>
      <w:r>
        <w:t>H2  The Trust Problem May Be Good News for Serious Brands</w:t>
      </w:r>
    </w:p>
    <w:p w14:paraId="6F4CF8A4">
      <w:r>
        <w:t>For sellers that compete only with a larger number on the label, closer scrutiny is uncomfortable. For brands willing to test the commercial product, document the batch and support shelf life, it creates a useful dividing line. The next advantage may not be another flavour or shape. It may be a 5 g claim that can survive a laboratory question.</w:t>
      </w:r>
    </w:p>
    <w:p w14:paraId="5521B988">
      <w:r>
        <w:t>SRS Nutrition Express can support the raw-material side with creatine monohydrate specifications, lot COAs, available impurity and particle-size information and representative samples. Share the daily dose, gummy count, process, packaging and shelf-life target so the proposed grade can be reviewed against the brief. Finished-product potency, uniformity and stability must still be demonstrated by the brand and manufacturer.</w:t>
      </w:r>
    </w:p>
    <w:p w14:paraId="093610F9">
      <w:pPr>
        <w:pStyle w:val="4"/>
      </w:pPr>
      <w:r>
        <w:t>H2  One Test Is a Warning, Not a Verdict on Every Gummy</w:t>
      </w:r>
    </w:p>
    <w:p w14:paraId="53FE581E">
      <w:pPr>
        <w:pStyle w:val="16"/>
        <w:spacing w:after="80"/>
      </w:pPr>
      <w:r>
        <w:t>The SuppCo results covered a limited set of purchased products and should not be generalised to every creatine gummy.</w:t>
      </w:r>
    </w:p>
    <w:p w14:paraId="0C185FE6">
      <w:pPr>
        <w:pStyle w:val="16"/>
        <w:spacing w:after="80"/>
      </w:pPr>
      <w:r>
        <w:t>Raw-material stability does not establish stability in a moisture-containing gummy.</w:t>
      </w:r>
    </w:p>
    <w:p w14:paraId="1FA70B04">
      <w:pPr>
        <w:pStyle w:val="16"/>
        <w:spacing w:after="80"/>
      </w:pPr>
      <w:r>
        <w:t>Accelerated data do not automatically replace real-time support for the labelled shelf life.</w:t>
      </w:r>
    </w:p>
    <w:p w14:paraId="37419608">
      <w:pPr>
        <w:pStyle w:val="16"/>
        <w:spacing w:after="80"/>
      </w:pPr>
      <w:r>
        <w:t>A 5 g input claim is not equivalent to 5 g verified in the finished serving through expiry.</w:t>
      </w:r>
    </w:p>
    <w:p w14:paraId="06EABED5">
      <w:pPr>
        <w:pStyle w:val="4"/>
      </w:pPr>
      <w:r>
        <w:t>Recommended Reading</w:t>
      </w:r>
    </w:p>
    <w:p w14:paraId="04444D32">
      <w:pPr>
        <w:pStyle w:val="16"/>
      </w:pPr>
      <w:r>
        <w:fldChar w:fldCharType="begin"/>
      </w:r>
      <w:r>
        <w:instrText xml:space="preserve"> HYPERLINK "https://www.srs-nutritionexpress.com/news/creatine-impurities-explained-creatinine-dcd-and-dht/" \h </w:instrText>
      </w:r>
      <w:r>
        <w:fldChar w:fldCharType="separate"/>
      </w:r>
      <w:r>
        <w:rPr>
          <w:color w:val="159BD3"/>
          <w:u w:val="single"/>
        </w:rPr>
        <w:t>Creatine Impurities Explained Creatinine DCD and DHT</w:t>
      </w:r>
      <w:r>
        <w:rPr>
          <w:color w:val="159BD3"/>
          <w:u w:val="single"/>
        </w:rPr>
        <w:fldChar w:fldCharType="end"/>
      </w:r>
    </w:p>
    <w:p w14:paraId="2D3672A2">
      <w:pPr>
        <w:pStyle w:val="16"/>
      </w:pPr>
      <w:r>
        <w:fldChar w:fldCharType="begin"/>
      </w:r>
      <w:r>
        <w:instrText xml:space="preserve"> HYPERLINK "https://www.srs-nutritionexpress.com/news/creatine-monohydrate-specification-sheet/" \h </w:instrText>
      </w:r>
      <w:r>
        <w:fldChar w:fldCharType="separate"/>
      </w:r>
      <w:r>
        <w:rPr>
          <w:color w:val="159BD3"/>
          <w:u w:val="single"/>
        </w:rPr>
        <w:t>How to Read a Creatine Monohydrate Specification Sheet</w:t>
      </w:r>
      <w:r>
        <w:rPr>
          <w:color w:val="159BD3"/>
          <w:u w:val="single"/>
        </w:rPr>
        <w:fldChar w:fldCharType="end"/>
      </w:r>
    </w:p>
    <w:p w14:paraId="4B4B1FC9">
      <w:pPr>
        <w:pStyle w:val="4"/>
      </w:pPr>
      <w:r>
        <w:t>References</w:t>
      </w:r>
    </w:p>
    <w:p w14:paraId="145586F8">
      <w:pPr>
        <w:ind w:left="259" w:hanging="259"/>
      </w:pPr>
      <w:r>
        <w:t xml:space="preserve">1. SuppCo. Creatine Reality Check The Failures We Found When Testing Popular Products. June 2025. </w:t>
      </w:r>
      <w:r>
        <w:fldChar w:fldCharType="begin"/>
      </w:r>
      <w:r>
        <w:instrText xml:space="preserve"> HYPERLINK "https://supp.co/articles/suppco-tested-creatine-testing-results-gummies-failed-lab-analysis" \h </w:instrText>
      </w:r>
      <w:r>
        <w:fldChar w:fldCharType="separate"/>
      </w:r>
      <w:r>
        <w:rPr>
          <w:color w:val="159BD3"/>
          <w:u w:val="single"/>
        </w:rPr>
        <w:t>https://supp.co/articles/suppco-tested-creatine-testing-results-gummies-failed-lab-analysis</w:t>
      </w:r>
      <w:r>
        <w:rPr>
          <w:color w:val="159BD3"/>
          <w:u w:val="single"/>
        </w:rPr>
        <w:fldChar w:fldCharType="end"/>
      </w:r>
    </w:p>
    <w:p w14:paraId="54E253CF">
      <w:pPr>
        <w:ind w:left="259" w:hanging="259"/>
      </w:pPr>
      <w:r>
        <w:t xml:space="preserve">2. Uzzan M, Nechrebeki J, Zhou P, Labuza TP. Effect of water activity and temperature on the stability of creatine during storage. Drug Development and Industrial Pharmacy. 2009;35(8):1003–1008. DOI 10.1080/03639040902755197. </w:t>
      </w:r>
      <w:r>
        <w:fldChar w:fldCharType="begin"/>
      </w:r>
      <w:r>
        <w:instrText xml:space="preserve"> HYPERLINK "https://pubmed.ncbi.nlm.nih.gov/19635041/" \h </w:instrText>
      </w:r>
      <w:r>
        <w:fldChar w:fldCharType="separate"/>
      </w:r>
      <w:r>
        <w:rPr>
          <w:color w:val="159BD3"/>
          <w:u w:val="single"/>
        </w:rPr>
        <w:t>https://pubmed.ncbi.nlm.nih.gov/19635041/</w:t>
      </w:r>
      <w:r>
        <w:rPr>
          <w:color w:val="159BD3"/>
          <w:u w:val="single"/>
        </w:rPr>
        <w:fldChar w:fldCharType="end"/>
      </w:r>
    </w:p>
    <w:p w14:paraId="281BEECE">
      <w:pPr>
        <w:ind w:left="259" w:hanging="259"/>
      </w:pPr>
      <w:r>
        <w:t xml:space="preserve">3. Tang PH, Miles MV, Steele P, et al. Evaluation of creatine content and stability from over-the-counter dietary supplement preparations. Food and Chemical Toxicology. 2011;49(4):757–762. DOI 10.1016/j.fct.2010.11.042. </w:t>
      </w:r>
      <w:r>
        <w:fldChar w:fldCharType="begin"/>
      </w:r>
      <w:r>
        <w:instrText xml:space="preserve"> HYPERLINK "https://doi.org/10.1016/j.fct.2010.11.042" \h </w:instrText>
      </w:r>
      <w:r>
        <w:fldChar w:fldCharType="separate"/>
      </w:r>
      <w:r>
        <w:rPr>
          <w:color w:val="159BD3"/>
          <w:u w:val="single"/>
        </w:rPr>
        <w:t>https://doi.org/10.1016/j.fct.2010.11.042</w:t>
      </w:r>
      <w:r>
        <w:rPr>
          <w:color w:val="159BD3"/>
          <w:u w:val="single"/>
        </w:rPr>
        <w:fldChar w:fldCharType="end"/>
      </w:r>
    </w:p>
    <w:p w14:paraId="54D64E72">
      <w:pPr>
        <w:ind w:left="259" w:hanging="259"/>
        <w:rPr>
          <w:color w:val="159BD3"/>
          <w:u w:val="single"/>
        </w:rPr>
      </w:pPr>
      <w:r>
        <w:t xml:space="preserve">4. Jäger R, Purpura M, Shao A, Inoue T, Kreider RB. Analysis of the efficacy, safety, and regulatory status of novel forms of creatine. Amino Acids. 2011;40:1369–1383. </w:t>
      </w:r>
      <w:r>
        <w:fldChar w:fldCharType="begin"/>
      </w:r>
      <w:r>
        <w:instrText xml:space="preserve"> HYPERLINK "https://pmc.ncbi.nlm.nih.gov/articles/PMC3080578/" \h </w:instrText>
      </w:r>
      <w:r>
        <w:fldChar w:fldCharType="separate"/>
      </w:r>
      <w:r>
        <w:rPr>
          <w:color w:val="159BD3"/>
          <w:u w:val="single"/>
        </w:rPr>
        <w:t>https://pmc.ncbi.nlm.nih.gov/articles/PMC3080578/</w:t>
      </w:r>
      <w:r>
        <w:rPr>
          <w:color w:val="159BD3"/>
          <w:u w:val="single"/>
        </w:rPr>
        <w:fldChar w:fldCharType="end"/>
      </w:r>
    </w:p>
    <w:p w14:paraId="61E04F70">
      <w:pPr>
        <w:ind w:left="259" w:hanging="259"/>
        <w:rPr>
          <w:rFonts w:hint="eastAsia"/>
          <w:color w:val="159BD3"/>
          <w:u w:val="single"/>
        </w:rPr>
      </w:pPr>
      <w:bookmarkStart w:id="0" w:name="_GoBack"/>
      <w:r>
        <w:rPr>
          <w:rFonts w:hint="eastAsia"/>
          <w:color w:val="159BD3"/>
          <w:u w:val="single"/>
        </w:rPr>
        <w:t>Main Image</w:t>
      </w:r>
    </w:p>
    <w:bookmarkEnd w:id="0"/>
    <w:p w14:paraId="5BE44682">
      <w:pPr>
        <w:ind w:left="259" w:hanging="259"/>
        <w:rPr>
          <w:rFonts w:hint="eastAsia"/>
          <w:color w:val="159BD3"/>
          <w:u w:val="single"/>
        </w:rPr>
      </w:pPr>
      <w:r>
        <w:rPr>
          <w:rFonts w:hint="eastAsia"/>
          <w:color w:val="159BD3"/>
          <w:u w:val="single"/>
        </w:rPr>
        <w:t>Main Image Title: Creatine Gummies Are Booming</w:t>
      </w:r>
    </w:p>
    <w:p w14:paraId="3533B904">
      <w:pPr>
        <w:ind w:left="259" w:hanging="259"/>
        <w:rPr>
          <w:rFonts w:hint="eastAsia"/>
          <w:color w:val="159BD3"/>
          <w:u w:val="single"/>
        </w:rPr>
      </w:pPr>
      <w:r>
        <w:rPr>
          <w:rFonts w:hint="eastAsia"/>
          <w:color w:val="159BD3"/>
          <w:u w:val="single"/>
        </w:rPr>
        <w:t>Subtitle: So Why Do Consumers Trust Them Less?</w:t>
      </w:r>
    </w:p>
    <w:p w14:paraId="0D97CFD7">
      <w:pPr>
        <w:ind w:left="259" w:hanging="259"/>
        <w:rPr>
          <w:rFonts w:hint="eastAsia"/>
          <w:color w:val="159BD3"/>
          <w:u w:val="single"/>
        </w:rPr>
      </w:pPr>
      <w:r>
        <w:rPr>
          <w:rFonts w:hint="eastAsia"/>
          <w:color w:val="159BD3"/>
          <w:u w:val="single"/>
        </w:rPr>
        <w:t>Filename: creatine-gummies-trust-and-testing.png</w:t>
      </w:r>
    </w:p>
    <w:p w14:paraId="66D84638">
      <w:pPr>
        <w:ind w:left="259" w:hanging="259"/>
        <w:rPr>
          <w:rFonts w:hint="eastAsia"/>
          <w:color w:val="159BD3"/>
          <w:u w:val="single"/>
        </w:rPr>
      </w:pPr>
      <w:r>
        <w:rPr>
          <w:rFonts w:hint="eastAsia"/>
          <w:color w:val="159BD3"/>
          <w:u w:val="single"/>
        </w:rPr>
        <w:t>Title: Creatine Gummies, Consumer Trust and Finished-Product Testing</w:t>
      </w:r>
    </w:p>
    <w:p w14:paraId="467EDFF1">
      <w:pPr>
        <w:ind w:left="259" w:hanging="259"/>
        <w:rPr>
          <w:rFonts w:hint="eastAsia"/>
          <w:color w:val="159BD3"/>
          <w:u w:val="single"/>
        </w:rPr>
      </w:pPr>
      <w:r>
        <w:rPr>
          <w:rFonts w:hint="eastAsia"/>
          <w:color w:val="159BD3"/>
          <w:u w:val="single"/>
        </w:rPr>
        <w:t>Alt: Creatine gummies, creatine monohydrate powder and a laboratory vial representing finished-product potency verification</w:t>
      </w:r>
    </w:p>
    <w:p w14:paraId="26B93CFB">
      <w:pPr>
        <w:ind w:left="259" w:hanging="259"/>
        <w:rPr>
          <w:rFonts w:hint="eastAsia"/>
          <w:color w:val="159BD3"/>
          <w:u w:val="single"/>
        </w:rPr>
      </w:pPr>
      <w:r>
        <w:rPr>
          <w:rFonts w:hint="eastAsia"/>
          <w:color w:val="159BD3"/>
          <w:u w:val="single"/>
        </w:rPr>
        <w:t>Insert position: After the H1 Creatine Gummies Are Booming. So Why Do Consumers Trust Them Less? and before the first introductory paragraph.</w:t>
      </w:r>
    </w:p>
    <w:p w14:paraId="3F3FBD1D">
      <w:pPr>
        <w:ind w:left="259" w:hanging="259"/>
        <w:rPr>
          <w:rFonts w:hint="eastAsia"/>
          <w:color w:val="159BD3"/>
          <w:u w:val="single"/>
        </w:rPr>
      </w:pPr>
      <w:r>
        <w:rPr>
          <w:rFonts w:hint="eastAsia"/>
          <w:color w:val="159BD3"/>
          <w:u w:val="single"/>
        </w:rPr>
        <w:t>Template: Embedded image with a right-side semicircular composition</w:t>
      </w:r>
    </w:p>
    <w:p w14:paraId="1A84A158">
      <w:pPr>
        <w:ind w:left="259" w:hanging="259"/>
        <w:rPr>
          <w:rFonts w:hint="eastAsia"/>
          <w:color w:val="159BD3"/>
          <w:u w:val="single"/>
        </w:rPr>
      </w:pPr>
      <w:r>
        <w:rPr>
          <w:rFonts w:hint="eastAsia"/>
          <w:color w:val="159BD3"/>
          <w:u w:val="single"/>
        </w:rPr>
        <w:t>Title placement: Added later through the website template; the generated image contains no text.</w:t>
      </w:r>
    </w:p>
    <w:p w14:paraId="215F0312">
      <w:pPr>
        <w:ind w:left="259" w:hanging="259"/>
        <w:rPr>
          <w:rFonts w:hint="eastAsia"/>
          <w:color w:val="159BD3"/>
          <w:u w:val="single"/>
        </w:rPr>
      </w:pPr>
      <w:r>
        <w:rPr>
          <w:rFonts w:hint="eastAsia"/>
          <w:color w:val="159BD3"/>
          <w:u w:val="single"/>
        </w:rPr>
        <w:t>Supporting Image 1</w:t>
      </w:r>
    </w:p>
    <w:p w14:paraId="49ED61BB">
      <w:pPr>
        <w:ind w:left="259" w:hanging="259"/>
        <w:rPr>
          <w:rFonts w:hint="eastAsia"/>
          <w:color w:val="159BD3"/>
          <w:u w:val="single"/>
        </w:rPr>
      </w:pPr>
      <w:r>
        <w:rPr>
          <w:rFonts w:hint="eastAsia"/>
          <w:color w:val="159BD3"/>
          <w:u w:val="single"/>
        </w:rPr>
        <w:t>Filename: creatine-gummy-production-and-stability.png</w:t>
      </w:r>
    </w:p>
    <w:p w14:paraId="62232202">
      <w:pPr>
        <w:ind w:left="259" w:hanging="259"/>
        <w:rPr>
          <w:rFonts w:hint="eastAsia"/>
          <w:color w:val="159BD3"/>
          <w:u w:val="single"/>
        </w:rPr>
      </w:pPr>
      <w:r>
        <w:rPr>
          <w:rFonts w:hint="eastAsia"/>
          <w:color w:val="159BD3"/>
          <w:u w:val="single"/>
        </w:rPr>
        <w:t>Title: From Creatine Powder to Finished Gummies</w:t>
      </w:r>
    </w:p>
    <w:p w14:paraId="4B9A25C9">
      <w:pPr>
        <w:ind w:left="259" w:hanging="259"/>
        <w:rPr>
          <w:rFonts w:hint="eastAsia"/>
          <w:color w:val="159BD3"/>
          <w:u w:val="single"/>
        </w:rPr>
      </w:pPr>
      <w:r>
        <w:rPr>
          <w:rFonts w:hint="eastAsia"/>
          <w:color w:val="159BD3"/>
          <w:u w:val="single"/>
        </w:rPr>
        <w:t>Alt: Creatine monohydrate powder, gummy depositing and finished gummies showing the stages that can affect product potency</w:t>
      </w:r>
    </w:p>
    <w:p w14:paraId="2FDA49EF">
      <w:pPr>
        <w:ind w:left="259" w:hanging="259"/>
        <w:rPr>
          <w:rFonts w:hint="eastAsia"/>
          <w:color w:val="159BD3"/>
          <w:u w:val="single"/>
        </w:rPr>
      </w:pPr>
      <w:r>
        <w:rPr>
          <w:rFonts w:hint="eastAsia"/>
          <w:color w:val="159BD3"/>
          <w:u w:val="single"/>
        </w:rPr>
        <w:t>Insert position: Under H2 Can a 5 g Creatine Gummy Be Made? Yes—but That Is the Wrong Question, after:</w:t>
      </w:r>
    </w:p>
    <w:p w14:paraId="4202D229">
      <w:pPr>
        <w:ind w:left="259" w:hanging="259"/>
        <w:rPr>
          <w:rFonts w:hint="eastAsia"/>
          <w:color w:val="159BD3"/>
          <w:u w:val="single"/>
        </w:rPr>
      </w:pPr>
    </w:p>
    <w:p w14:paraId="6E55E5B2">
      <w:pPr>
        <w:ind w:left="259" w:hanging="259"/>
        <w:rPr>
          <w:rFonts w:hint="eastAsia"/>
          <w:color w:val="159BD3"/>
          <w:u w:val="single"/>
        </w:rPr>
      </w:pPr>
      <w:r>
        <w:rPr>
          <w:rFonts w:hint="eastAsia"/>
          <w:color w:val="159BD3"/>
          <w:u w:val="single"/>
        </w:rPr>
        <w:t>A successful product has to survive that whole journey, not only the batch sheet.</w:t>
      </w:r>
    </w:p>
    <w:p w14:paraId="4511ADF7">
      <w:pPr>
        <w:ind w:left="259" w:hanging="259"/>
        <w:rPr>
          <w:rFonts w:hint="eastAsia"/>
          <w:color w:val="159BD3"/>
          <w:u w:val="single"/>
        </w:rPr>
      </w:pPr>
    </w:p>
    <w:p w14:paraId="1331D777">
      <w:pPr>
        <w:ind w:left="259" w:hanging="259"/>
        <w:rPr>
          <w:rFonts w:hint="eastAsia"/>
          <w:color w:val="159BD3"/>
          <w:u w:val="single"/>
        </w:rPr>
      </w:pPr>
      <w:r>
        <w:rPr>
          <w:rFonts w:hint="eastAsia"/>
          <w:color w:val="159BD3"/>
          <w:u w:val="single"/>
        </w:rPr>
        <w:t>Supporting Image 2</w:t>
      </w:r>
    </w:p>
    <w:p w14:paraId="305FC732">
      <w:pPr>
        <w:ind w:left="259" w:hanging="259"/>
        <w:rPr>
          <w:rFonts w:hint="eastAsia"/>
          <w:color w:val="159BD3"/>
          <w:u w:val="single"/>
        </w:rPr>
      </w:pPr>
      <w:r>
        <w:rPr>
          <w:rFonts w:hint="eastAsia"/>
          <w:color w:val="159BD3"/>
          <w:u w:val="single"/>
        </w:rPr>
        <w:t>Filename: creatine-gummy-finished-product-potency-testing.png</w:t>
      </w:r>
    </w:p>
    <w:p w14:paraId="7B0F6ACF">
      <w:pPr>
        <w:ind w:left="259" w:hanging="259"/>
        <w:rPr>
          <w:rFonts w:hint="eastAsia"/>
          <w:color w:val="159BD3"/>
          <w:u w:val="single"/>
        </w:rPr>
      </w:pPr>
      <w:r>
        <w:rPr>
          <w:rFonts w:hint="eastAsia"/>
          <w:color w:val="159BD3"/>
          <w:u w:val="single"/>
        </w:rPr>
        <w:t>Title: Creatine Gummy Finished-Product Potency Testing</w:t>
      </w:r>
    </w:p>
    <w:p w14:paraId="3208402A">
      <w:pPr>
        <w:ind w:left="259" w:hanging="259"/>
        <w:rPr>
          <w:rFonts w:hint="eastAsia"/>
          <w:color w:val="159BD3"/>
          <w:u w:val="single"/>
        </w:rPr>
      </w:pPr>
      <w:r>
        <w:rPr>
          <w:rFonts w:hint="eastAsia"/>
          <w:color w:val="159BD3"/>
          <w:u w:val="single"/>
        </w:rPr>
        <w:t>Alt: Finished creatine gummies sampled with laboratory vials, retained packaging and a precision balance for potency verification</w:t>
      </w:r>
    </w:p>
    <w:p w14:paraId="6CF6E7DB">
      <w:pPr>
        <w:ind w:left="259" w:hanging="259"/>
        <w:rPr>
          <w:rFonts w:hint="eastAsia"/>
          <w:color w:val="159BD3"/>
          <w:u w:val="single"/>
        </w:rPr>
      </w:pPr>
      <w:r>
        <w:rPr>
          <w:rFonts w:hint="eastAsia"/>
          <w:color w:val="159BD3"/>
          <w:u w:val="single"/>
        </w:rPr>
        <w:t>Insert position: Under H2 There Are Three Different Versions of 5 g, after:</w:t>
      </w:r>
    </w:p>
    <w:p w14:paraId="68D24E38">
      <w:pPr>
        <w:ind w:left="259" w:hanging="259"/>
        <w:rPr>
          <w:rFonts w:hint="eastAsia"/>
          <w:color w:val="159BD3"/>
          <w:u w:val="single"/>
        </w:rPr>
      </w:pPr>
    </w:p>
    <w:p w14:paraId="64628096">
      <w:pPr>
        <w:ind w:left="259" w:hanging="259"/>
        <w:rPr>
          <w:color w:val="159BD3"/>
          <w:u w:val="single"/>
        </w:rPr>
      </w:pPr>
      <w:r>
        <w:rPr>
          <w:rFonts w:hint="eastAsia"/>
          <w:color w:val="159BD3"/>
          <w:u w:val="single"/>
        </w:rPr>
        <w:t>They may sound identical in a sales discussion, but they answer different questions.</w:t>
      </w:r>
    </w:p>
    <w:p w14:paraId="4485AF7B">
      <w:pPr>
        <w:ind w:left="259" w:hanging="259"/>
        <w:rPr>
          <w:color w:val="159BD3"/>
          <w:u w:val="single"/>
        </w:rPr>
      </w:pPr>
    </w:p>
    <w:p w14:paraId="1D7E62F8">
      <w:pPr>
        <w:ind w:left="259" w:hanging="259"/>
        <w:rPr>
          <w:color w:val="159BD3"/>
          <w:u w:val="single"/>
        </w:rPr>
      </w:pPr>
    </w:p>
    <w:sectPr>
      <w:headerReference r:id="rId5" w:type="default"/>
      <w:footerReference r:id="rId6" w:type="default"/>
      <w:pgSz w:w="12240" w:h="15840"/>
      <w:pgMar w:top="1296" w:right="1123" w:bottom="936" w:left="1123" w:header="403"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DF8A5">
    <w:pPr>
      <w:pStyle w:val="24"/>
      <w:jc w:val="center"/>
    </w:pPr>
    <w:r>
      <w:rPr>
        <w:rFonts w:ascii="Aptos" w:hAnsi="Aptos"/>
        <w:color w:val="5B6573"/>
        <w:sz w:val="16"/>
      </w:rPr>
      <w:t>SRS Nutrition Express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1F5B2">
    <w:pPr>
      <w:pStyle w:val="25"/>
      <w:jc w:val="right"/>
    </w:pPr>
    <w:r>
      <w:rPr>
        <w:rFonts w:ascii="Aptos" w:hAnsi="Aptos"/>
        <w:b/>
        <w:color w:val="159BD3"/>
        <w:sz w:val="16"/>
      </w:rPr>
      <w:t>SRS NUTRITION EXPRESS   BLOG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C56AD"/>
    <w:multiLevelType w:val="multilevel"/>
    <w:tmpl w:val="B68C56A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0649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keepLines/>
      <w:spacing w:after="140" w:line="269" w:lineRule="auto"/>
    </w:pPr>
    <w:rPr>
      <w:rFonts w:ascii="Aptos" w:hAnsi="Aptos" w:eastAsiaTheme="minorEastAsia" w:cstheme="minorBidi"/>
      <w:color w:val="27384A"/>
      <w:sz w:val="21"/>
      <w:szCs w:val="22"/>
      <w:lang w:val="en-US" w:eastAsia="en-US" w:bidi="ar-SA"/>
    </w:rPr>
  </w:style>
  <w:style w:type="paragraph" w:styleId="3">
    <w:name w:val="heading 1"/>
    <w:basedOn w:val="1"/>
    <w:next w:val="1"/>
    <w:link w:val="139"/>
    <w:qFormat/>
    <w:uiPriority w:val="9"/>
    <w:pPr>
      <w:keepNext/>
      <w:keepLines/>
      <w:spacing w:before="320" w:after="160"/>
      <w:outlineLvl w:val="0"/>
    </w:pPr>
    <w:rPr>
      <w:rFonts w:asciiTheme="majorHAnsi" w:hAnsiTheme="majorHAnsi" w:eastAsiaTheme="majorEastAsia" w:cstheme="majorBidi"/>
      <w:b/>
      <w:bCs/>
      <w:color w:val="15375B"/>
      <w:sz w:val="38"/>
      <w:szCs w:val="28"/>
    </w:rPr>
  </w:style>
  <w:style w:type="paragraph" w:styleId="4">
    <w:name w:val="heading 2"/>
    <w:basedOn w:val="1"/>
    <w:next w:val="1"/>
    <w:link w:val="140"/>
    <w:unhideWhenUsed/>
    <w:qFormat/>
    <w:uiPriority w:val="9"/>
    <w:pPr>
      <w:keepNext/>
      <w:keepLines/>
      <w:spacing w:before="240" w:after="100"/>
      <w:outlineLvl w:val="1"/>
    </w:pPr>
    <w:rPr>
      <w:rFonts w:asciiTheme="majorHAnsi" w:hAnsiTheme="majorHAnsi" w:eastAsiaTheme="majorEastAsia" w:cstheme="majorBidi"/>
      <w:b/>
      <w:bCs/>
      <w:color w:val="15375B"/>
      <w:sz w:val="28"/>
      <w:szCs w:val="26"/>
    </w:rPr>
  </w:style>
  <w:style w:type="paragraph" w:styleId="5">
    <w:name w:val="heading 3"/>
    <w:basedOn w:val="1"/>
    <w:next w:val="1"/>
    <w:link w:val="141"/>
    <w:unhideWhenUsed/>
    <w:qFormat/>
    <w:uiPriority w:val="9"/>
    <w:pPr>
      <w:keepNext/>
      <w:keepLines/>
      <w:spacing w:before="160" w:after="60"/>
      <w:outlineLvl w:val="2"/>
    </w:pPr>
    <w:rPr>
      <w:rFonts w:asciiTheme="majorHAnsi" w:hAnsiTheme="majorHAnsi" w:eastAsiaTheme="majorEastAsia" w:cstheme="majorBidi"/>
      <w:b/>
      <w:bCs/>
      <w:color w:val="159BD3"/>
      <w:sz w:val="23"/>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pBdr>
        <w:bottom w:val="single" w:color="4F81BD" w:themeColor="accent1" w:sz="8" w:space="4"/>
      </w:pBdr>
      <w:spacing w:before="0" w:after="160" w:line="240" w:lineRule="auto"/>
      <w:contextualSpacing/>
    </w:pPr>
    <w:rPr>
      <w:rFonts w:asciiTheme="majorHAnsi" w:hAnsiTheme="majorHAnsi" w:eastAsiaTheme="majorEastAsia" w:cstheme="majorBidi"/>
      <w:b/>
      <w:color w:val="15375B"/>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TML Code"/>
    <w:basedOn w:val="132"/>
    <w:semiHidden/>
    <w:unhideWhenUsed/>
    <w:uiPriority w:val="99"/>
    <w:rPr>
      <w:rFonts w:ascii="Courier New" w:hAnsi="Courier New"/>
      <w:sz w:val="20"/>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 w:type="paragraph" w:customStyle="1" w:styleId="165">
    <w:name w:val="Label"/>
    <w:qFormat/>
    <w:uiPriority w:val="0"/>
    <w:pPr>
      <w:spacing w:after="40" w:line="276" w:lineRule="auto"/>
    </w:pPr>
    <w:rPr>
      <w:rFonts w:ascii="Aptos" w:hAnsi="Aptos" w:eastAsiaTheme="minorEastAsia" w:cstheme="minorBidi"/>
      <w:b/>
      <w:color w:val="159BD3"/>
      <w:sz w:val="16"/>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88</Words>
  <Characters>590</Characters>
  <Lines>0</Lines>
  <Paragraphs>0</Paragraphs>
  <TotalTime>33</TotalTime>
  <ScaleCrop>false</ScaleCrop>
  <LinksUpToDate>false</LinksUpToDate>
  <CharactersWithSpaces>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GlockieBae</cp:lastModifiedBy>
  <dcterms:modified xsi:type="dcterms:W3CDTF">2026-09-23T09:09:22Z</dcterms:modified>
  <dc:subject>SEO and evidence reviewed SRS blog drafts</dc:subject>
  <dc:title>SRS Blog Rewrites Three Articles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eyJoZGlkIjoiODFmMjczM2VkODllMjIzMmQwMDg0NDkyMDdlZGE5NzAiLCJ1c2VySWQiOiI3OTk1NTI4NDIifQ==</vt:lpwstr>
  </property>
  <property fmtid="{D5CDD505-2E9C-101B-9397-08002B2CF9AE}" pid="3" name="KSOProductBuildVer">
    <vt:lpwstr>2052-12.1.0.28505</vt:lpwstr>
  </property>
  <property fmtid="{D5CDD505-2E9C-101B-9397-08002B2CF9AE}" pid="4" name="ICV">
    <vt:lpwstr>47ED104045744071A3E819C309D20286_13</vt:lpwstr>
  </property>
</Properties>
</file>